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hanging="0" w:start="0" w:end="0"/>
        <w:jc w:val="end"/>
        <w:rPr>
          <w:rFonts w:ascii="Times New Roman" w:hAnsi="Times New Roman"/>
        </w:rPr>
      </w:pPr>
      <w:r>
        <w:rPr/>
        <w:t xml:space="preserve">Утвержден </w:t>
      </w:r>
    </w:p>
    <w:p>
      <w:pPr>
        <w:pStyle w:val="Normal"/>
        <w:bidi w:val="0"/>
        <w:ind w:hanging="0" w:start="0" w:end="0"/>
        <w:jc w:val="end"/>
        <w:rPr>
          <w:rFonts w:ascii="Times New Roman" w:hAnsi="Times New Roman"/>
        </w:rPr>
      </w:pPr>
      <w:r>
        <w:rPr/>
        <w:t>Приказом № 17-Д  от 09.03.2022г.</w:t>
      </w:r>
    </w:p>
    <w:tbl>
      <w:tblPr>
        <w:tblW w:w="10277" w:type="dxa"/>
        <w:jc w:val="start"/>
        <w:tblInd w:w="-1" w:type="dxa"/>
        <w:tblLayout w:type="fixed"/>
        <w:tblCellMar>
          <w:top w:w="0" w:type="dxa"/>
          <w:start w:w="70" w:type="dxa"/>
          <w:bottom w:w="0" w:type="dxa"/>
          <w:end w:w="70" w:type="dxa"/>
        </w:tblCellMar>
      </w:tblPr>
      <w:tblGrid>
        <w:gridCol w:w="645"/>
        <w:gridCol w:w="8072"/>
        <w:gridCol w:w="1560"/>
      </w:tblGrid>
      <w:tr>
        <w:trPr/>
        <w:tc>
          <w:tcPr>
            <w:tcW w:w="10277" w:type="dxa"/>
            <w:gridSpan w:val="3"/>
            <w:tcBorders/>
          </w:tcPr>
          <w:p>
            <w:pPr>
              <w:pStyle w:val="Normal"/>
              <w:tabs>
                <w:tab w:val="clear" w:pos="708"/>
              </w:tabs>
              <w:bidi w:val="0"/>
              <w:ind w:hanging="0" w:start="0" w:end="0"/>
              <w:jc w:val="center"/>
              <w:rPr>
                <w:rFonts w:ascii="Times New Roman" w:hAnsi="Times New Roman"/>
                <w:b/>
                <w:bCs/>
                <w:sz w:val="22"/>
                <w:szCs w:val="22"/>
              </w:rPr>
            </w:pPr>
            <w:r>
              <w:rPr>
                <w:b/>
                <w:bCs/>
                <w:sz w:val="22"/>
                <w:szCs w:val="22"/>
              </w:rPr>
              <w:t>ПРЕЙСКУРАНТ  № 1</w:t>
            </w:r>
          </w:p>
          <w:p>
            <w:pPr>
              <w:pStyle w:val="Normal"/>
              <w:tabs>
                <w:tab w:val="clear" w:pos="708"/>
              </w:tabs>
              <w:bidi w:val="0"/>
              <w:ind w:hanging="0" w:start="0" w:end="0"/>
              <w:jc w:val="center"/>
              <w:rPr>
                <w:rFonts w:ascii="Times New Roman" w:hAnsi="Times New Roman"/>
                <w:b/>
                <w:bCs/>
                <w:sz w:val="22"/>
                <w:szCs w:val="22"/>
              </w:rPr>
            </w:pPr>
            <w:r>
              <w:rPr>
                <w:b/>
                <w:bCs/>
                <w:sz w:val="22"/>
                <w:szCs w:val="22"/>
              </w:rPr>
              <w:t>на услуги, предоставляемые  АО «Регистратор Интрако»</w:t>
            </w:r>
          </w:p>
          <w:p>
            <w:pPr>
              <w:pStyle w:val="Normal"/>
              <w:tabs>
                <w:tab w:val="clear" w:pos="708"/>
              </w:tabs>
              <w:bidi w:val="0"/>
              <w:ind w:hanging="0" w:start="0" w:end="0"/>
              <w:jc w:val="center"/>
              <w:rPr>
                <w:rFonts w:ascii="Times New Roman" w:hAnsi="Times New Roman"/>
              </w:rPr>
            </w:pPr>
            <w:r>
              <w:rPr/>
              <w:t>(Вступает в действие с 16 марта 2022 года)</w:t>
            </w:r>
          </w:p>
          <w:p>
            <w:pPr>
              <w:pStyle w:val="Normal"/>
              <w:tabs>
                <w:tab w:val="clear" w:pos="708"/>
              </w:tabs>
              <w:bidi w:val="0"/>
              <w:ind w:hanging="0" w:start="0" w:end="0"/>
              <w:jc w:val="center"/>
              <w:rPr>
                <w:rFonts w:ascii="Times New Roman" w:hAnsi="Times New Roman"/>
                <w:b/>
                <w:bCs/>
                <w:sz w:val="18"/>
                <w:szCs w:val="18"/>
              </w:rPr>
            </w:pPr>
            <w:r>
              <w:rPr>
                <w:b/>
                <w:bCs/>
                <w:sz w:val="18"/>
                <w:szCs w:val="18"/>
              </w:rPr>
            </w:r>
          </w:p>
        </w:tc>
      </w:tr>
      <w:tr>
        <w:trPr/>
        <w:tc>
          <w:tcPr>
            <w:tcW w:w="645" w:type="dxa"/>
            <w:tcBorders>
              <w:top w:val="double" w:sz="6" w:space="0" w:color="000000"/>
              <w:start w:val="double" w:sz="6" w:space="0" w:color="000000"/>
              <w:end w:val="double" w:sz="6" w:space="0" w:color="000000"/>
            </w:tcBorders>
            <w:tcMar>
              <w:start w:w="71" w:type="dxa"/>
              <w:end w:w="71" w:type="dxa"/>
            </w:tcMar>
          </w:tcPr>
          <w:p>
            <w:pPr>
              <w:pStyle w:val="Normal"/>
              <w:tabs>
                <w:tab w:val="clear" w:pos="708"/>
              </w:tabs>
              <w:bidi w:val="0"/>
              <w:ind w:hanging="0" w:start="0" w:end="0"/>
              <w:jc w:val="end"/>
              <w:rPr>
                <w:rFonts w:ascii="Times New Roman" w:hAnsi="Times New Roman"/>
                <w:b/>
                <w:bCs/>
              </w:rPr>
            </w:pPr>
            <w:r>
              <w:rPr>
                <w:b/>
                <w:bCs/>
              </w:rPr>
            </w:r>
          </w:p>
        </w:tc>
        <w:tc>
          <w:tcPr>
            <w:tcW w:w="8072" w:type="dxa"/>
            <w:tcBorders>
              <w:top w:val="double" w:sz="6" w:space="0" w:color="000000"/>
              <w:start w:val="double" w:sz="6" w:space="0" w:color="000000"/>
              <w:end w:val="double" w:sz="6" w:space="0" w:color="000000"/>
            </w:tcBorders>
            <w:tcMar>
              <w:start w:w="71" w:type="dxa"/>
              <w:end w:w="71" w:type="dxa"/>
            </w:tcMar>
          </w:tcPr>
          <w:p>
            <w:pPr>
              <w:pStyle w:val="Normal"/>
              <w:tabs>
                <w:tab w:val="clear" w:pos="708"/>
              </w:tabs>
              <w:bidi w:val="0"/>
              <w:ind w:hanging="0" w:start="0" w:end="0"/>
              <w:jc w:val="center"/>
              <w:rPr/>
            </w:pPr>
            <w:r>
              <w:rPr>
                <w:b/>
                <w:bCs/>
              </w:rPr>
              <w:t xml:space="preserve">Наименование услуги </w:t>
            </w:r>
          </w:p>
        </w:tc>
        <w:tc>
          <w:tcPr>
            <w:tcW w:w="1560" w:type="dxa"/>
            <w:tcBorders>
              <w:top w:val="double" w:sz="6" w:space="0" w:color="000000"/>
              <w:start w:val="double" w:sz="6" w:space="0" w:color="000000"/>
              <w:end w:val="double" w:sz="6" w:space="0" w:color="000000"/>
            </w:tcBorders>
            <w:tcMar>
              <w:start w:w="71" w:type="dxa"/>
              <w:end w:w="71" w:type="dxa"/>
            </w:tcMar>
            <w:vAlign w:val="bottom"/>
          </w:tcPr>
          <w:p>
            <w:pPr>
              <w:pStyle w:val="Normal"/>
              <w:tabs>
                <w:tab w:val="clear" w:pos="708"/>
              </w:tabs>
              <w:bidi w:val="0"/>
              <w:ind w:hanging="0" w:start="0" w:end="0"/>
              <w:jc w:val="center"/>
              <w:rPr>
                <w:rFonts w:ascii="Times New Roman" w:hAnsi="Times New Roman"/>
                <w:b/>
                <w:bCs/>
                <w:vertAlign w:val="superscript"/>
              </w:rPr>
            </w:pPr>
            <w:r>
              <w:rPr>
                <w:b/>
                <w:bCs/>
              </w:rPr>
              <w:t xml:space="preserve">Стоимость </w:t>
            </w:r>
            <w:r>
              <w:rPr>
                <w:rStyle w:val="EndnoteReference"/>
              </w:rPr>
              <w:endnoteReference w:id="2"/>
            </w:r>
          </w:p>
          <w:p>
            <w:pPr>
              <w:pStyle w:val="Normal"/>
              <w:tabs>
                <w:tab w:val="clear" w:pos="708"/>
              </w:tabs>
              <w:bidi w:val="0"/>
              <w:ind w:hanging="0" w:start="0" w:end="0"/>
              <w:jc w:val="center"/>
              <w:rPr/>
            </w:pPr>
            <w:r>
              <w:rPr>
                <w:b/>
                <w:bCs/>
              </w:rPr>
              <w:t xml:space="preserve">(руб.) </w:t>
            </w:r>
          </w:p>
        </w:tc>
      </w:tr>
      <w:tr>
        <w:trPr/>
        <w:tc>
          <w:tcPr>
            <w:tcW w:w="645" w:type="dxa"/>
            <w:tcBorders>
              <w:top w:val="double" w:sz="6" w:space="0" w:color="000000"/>
              <w:start w:val="double" w:sz="6" w:space="0" w:color="000000"/>
              <w:end w:val="single" w:sz="6" w:space="0" w:color="000000"/>
            </w:tcBorders>
            <w:tcMar>
              <w:start w:w="71" w:type="dxa"/>
              <w:end w:w="71" w:type="dxa"/>
            </w:tcMar>
          </w:tcPr>
          <w:p>
            <w:pPr>
              <w:pStyle w:val="Normal"/>
              <w:tabs>
                <w:tab w:val="clear" w:pos="708"/>
              </w:tabs>
              <w:bidi w:val="0"/>
              <w:ind w:hanging="0" w:start="0" w:end="0"/>
              <w:jc w:val="end"/>
              <w:rPr/>
            </w:pPr>
            <w:r>
              <w:rPr>
                <w:b/>
                <w:bCs/>
              </w:rPr>
              <w:t>1.</w:t>
            </w:r>
          </w:p>
        </w:tc>
        <w:tc>
          <w:tcPr>
            <w:tcW w:w="8072" w:type="dxa"/>
            <w:tcBorders>
              <w:top w:val="double" w:sz="6" w:space="0" w:color="000000"/>
              <w:start w:val="single" w:sz="6" w:space="0" w:color="000000"/>
              <w:end w:val="single" w:sz="6" w:space="0" w:color="000000"/>
            </w:tcBorders>
            <w:tcMar>
              <w:start w:w="71" w:type="dxa"/>
              <w:end w:w="71" w:type="dxa"/>
            </w:tcMar>
          </w:tcPr>
          <w:p>
            <w:pPr>
              <w:pStyle w:val="Normal"/>
              <w:tabs>
                <w:tab w:val="clear" w:pos="708"/>
              </w:tabs>
              <w:bidi w:val="0"/>
              <w:ind w:hanging="0" w:start="0" w:end="0"/>
              <w:rPr>
                <w:rFonts w:ascii="Times New Roman" w:hAnsi="Times New Roman"/>
                <w:b/>
                <w:bCs/>
              </w:rPr>
            </w:pPr>
            <w:r>
              <w:rPr>
                <w:b/>
                <w:bCs/>
              </w:rPr>
              <w:t>Открытие лицевого счета:</w:t>
            </w:r>
          </w:p>
          <w:p>
            <w:pPr>
              <w:pStyle w:val="Normal"/>
              <w:tabs>
                <w:tab w:val="clear" w:pos="708"/>
              </w:tabs>
              <w:bidi w:val="0"/>
              <w:ind w:hanging="0" w:start="0" w:end="0"/>
              <w:rPr>
                <w:rFonts w:ascii="Times New Roman" w:hAnsi="Times New Roman"/>
                <w:bCs/>
              </w:rPr>
            </w:pPr>
            <w:r>
              <w:rPr>
                <w:bCs/>
              </w:rPr>
              <w:t>Физическому лицу</w:t>
            </w:r>
          </w:p>
          <w:p>
            <w:pPr>
              <w:pStyle w:val="Normal"/>
              <w:tabs>
                <w:tab w:val="clear" w:pos="708"/>
              </w:tabs>
              <w:bidi w:val="0"/>
              <w:ind w:hanging="0" w:start="0" w:end="0"/>
              <w:rPr/>
            </w:pPr>
            <w:r>
              <w:rPr>
                <w:bCs/>
              </w:rPr>
              <w:t>Юридическому лицу</w:t>
            </w:r>
          </w:p>
        </w:tc>
        <w:tc>
          <w:tcPr>
            <w:tcW w:w="1560" w:type="dxa"/>
            <w:tcBorders>
              <w:top w:val="double" w:sz="6" w:space="0" w:color="000000"/>
              <w:start w:val="single" w:sz="6" w:space="0" w:color="000000"/>
              <w:end w:val="double" w:sz="6" w:space="0" w:color="000000"/>
            </w:tcBorders>
            <w:tcMar>
              <w:start w:w="71" w:type="dxa"/>
              <w:end w:w="71" w:type="dxa"/>
            </w:tcMar>
            <w:vAlign w:val="bottom"/>
          </w:tcPr>
          <w:p>
            <w:pPr>
              <w:pStyle w:val="Normal"/>
              <w:tabs>
                <w:tab w:val="clear" w:pos="708"/>
              </w:tabs>
              <w:bidi w:val="0"/>
              <w:ind w:hanging="0" w:start="0" w:end="0"/>
              <w:jc w:val="end"/>
              <w:rPr>
                <w:rFonts w:ascii="Times New Roman" w:hAnsi="Times New Roman"/>
              </w:rPr>
            </w:pPr>
            <w:r>
              <w:rPr/>
              <w:t>100</w:t>
            </w:r>
          </w:p>
          <w:p>
            <w:pPr>
              <w:pStyle w:val="Normal"/>
              <w:tabs>
                <w:tab w:val="clear" w:pos="708"/>
              </w:tabs>
              <w:bidi w:val="0"/>
              <w:ind w:hanging="0" w:start="0" w:end="0"/>
              <w:jc w:val="end"/>
              <w:rPr/>
            </w:pPr>
            <w:r>
              <w:rPr/>
              <w:t>650</w:t>
            </w:r>
          </w:p>
        </w:tc>
      </w:tr>
      <w:tr>
        <w:trPr/>
        <w:tc>
          <w:tcPr>
            <w:tcW w:w="645" w:type="dxa"/>
            <w:tcBorders>
              <w:top w:val="double" w:sz="6" w:space="0" w:color="000000"/>
              <w:start w:val="doub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jc w:val="end"/>
              <w:rPr/>
            </w:pPr>
            <w:r>
              <w:rPr>
                <w:b/>
                <w:bCs/>
              </w:rPr>
              <w:t>2.</w:t>
            </w:r>
          </w:p>
        </w:tc>
        <w:tc>
          <w:tcPr>
            <w:tcW w:w="8072" w:type="dxa"/>
            <w:tcBorders>
              <w:top w:val="double" w:sz="6" w:space="0" w:color="000000"/>
              <w:start w:val="sing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rPr>
                <w:rFonts w:ascii="Times New Roman" w:hAnsi="Times New Roman"/>
                <w:b/>
                <w:bCs/>
              </w:rPr>
            </w:pPr>
            <w:r>
              <w:rPr>
                <w:b/>
                <w:bCs/>
              </w:rPr>
              <w:t>Внесение изменений в информацию лицевого счета:</w:t>
            </w:r>
          </w:p>
          <w:p>
            <w:pPr>
              <w:pStyle w:val="Normal"/>
              <w:tabs>
                <w:tab w:val="clear" w:pos="708"/>
              </w:tabs>
              <w:bidi w:val="0"/>
              <w:ind w:hanging="0" w:start="0" w:end="0"/>
              <w:rPr>
                <w:rFonts w:ascii="Times New Roman" w:hAnsi="Times New Roman"/>
                <w:bCs/>
              </w:rPr>
            </w:pPr>
            <w:r>
              <w:rPr>
                <w:bCs/>
              </w:rPr>
              <w:t>Физическому лицу</w:t>
            </w:r>
          </w:p>
          <w:p>
            <w:pPr>
              <w:pStyle w:val="Normal"/>
              <w:tabs>
                <w:tab w:val="clear" w:pos="708"/>
              </w:tabs>
              <w:bidi w:val="0"/>
              <w:ind w:hanging="0" w:start="0" w:end="0"/>
              <w:rPr/>
            </w:pPr>
            <w:r>
              <w:rPr>
                <w:bCs/>
              </w:rPr>
              <w:t>Юридическому лицу</w:t>
            </w:r>
          </w:p>
        </w:tc>
        <w:tc>
          <w:tcPr>
            <w:tcW w:w="1560" w:type="dxa"/>
            <w:tcBorders>
              <w:top w:val="double" w:sz="6" w:space="0" w:color="000000"/>
              <w:start w:val="single" w:sz="6" w:space="0" w:color="000000"/>
              <w:bottom w:val="double" w:sz="6" w:space="0" w:color="000000"/>
              <w:end w:val="double" w:sz="6" w:space="0" w:color="000000"/>
            </w:tcBorders>
            <w:tcMar>
              <w:start w:w="71" w:type="dxa"/>
              <w:end w:w="71" w:type="dxa"/>
            </w:tcMar>
            <w:vAlign w:val="bottom"/>
          </w:tcPr>
          <w:p>
            <w:pPr>
              <w:pStyle w:val="Normal"/>
              <w:tabs>
                <w:tab w:val="clear" w:pos="708"/>
              </w:tabs>
              <w:bidi w:val="0"/>
              <w:ind w:hanging="0" w:start="0" w:end="0"/>
              <w:jc w:val="end"/>
              <w:rPr>
                <w:rFonts w:ascii="Times New Roman" w:hAnsi="Times New Roman"/>
              </w:rPr>
            </w:pPr>
            <w:r>
              <w:rPr/>
            </w:r>
          </w:p>
          <w:p>
            <w:pPr>
              <w:pStyle w:val="Normal"/>
              <w:tabs>
                <w:tab w:val="clear" w:pos="708"/>
              </w:tabs>
              <w:bidi w:val="0"/>
              <w:ind w:hanging="0" w:start="0" w:end="0"/>
              <w:jc w:val="end"/>
              <w:rPr>
                <w:rFonts w:ascii="Times New Roman" w:hAnsi="Times New Roman"/>
              </w:rPr>
            </w:pPr>
            <w:r>
              <w:rPr/>
              <w:t>100</w:t>
            </w:r>
          </w:p>
          <w:p>
            <w:pPr>
              <w:pStyle w:val="Normal"/>
              <w:tabs>
                <w:tab w:val="clear" w:pos="708"/>
              </w:tabs>
              <w:bidi w:val="0"/>
              <w:ind w:hanging="0" w:start="0" w:end="0"/>
              <w:jc w:val="end"/>
              <w:rPr/>
            </w:pPr>
            <w:r>
              <w:rPr/>
              <w:t>650</w:t>
            </w:r>
          </w:p>
        </w:tc>
      </w:tr>
      <w:tr>
        <w:trPr/>
        <w:tc>
          <w:tcPr>
            <w:tcW w:w="645" w:type="dxa"/>
            <w:tcBorders>
              <w:top w:val="double" w:sz="2" w:space="0" w:color="000000"/>
              <w:start w:val="double" w:sz="2" w:space="0" w:color="000000"/>
              <w:bottom w:val="single" w:sz="6" w:space="0" w:color="000000"/>
              <w:end w:val="single" w:sz="6" w:space="0" w:color="000000"/>
            </w:tcBorders>
            <w:tcMar>
              <w:start w:w="71" w:type="dxa"/>
              <w:end w:w="71" w:type="dxa"/>
            </w:tcMar>
          </w:tcPr>
          <w:p>
            <w:pPr>
              <w:pStyle w:val="Normal"/>
              <w:tabs>
                <w:tab w:val="clear" w:pos="708"/>
              </w:tabs>
              <w:bidi w:val="0"/>
              <w:ind w:hanging="0" w:start="0" w:end="0"/>
              <w:jc w:val="end"/>
              <w:rPr/>
            </w:pPr>
            <w:r>
              <w:rPr>
                <w:b/>
                <w:bCs/>
              </w:rPr>
              <w:t>3.</w:t>
            </w:r>
          </w:p>
        </w:tc>
        <w:tc>
          <w:tcPr>
            <w:tcW w:w="8072" w:type="dxa"/>
            <w:tcBorders>
              <w:top w:val="double" w:sz="2" w:space="0" w:color="000000"/>
              <w:start w:val="single" w:sz="6" w:space="0" w:color="000000"/>
              <w:bottom w:val="single" w:sz="6" w:space="0" w:color="000000"/>
              <w:end w:val="single" w:sz="6" w:space="0" w:color="000000"/>
            </w:tcBorders>
            <w:tcMar>
              <w:start w:w="71" w:type="dxa"/>
              <w:end w:w="71" w:type="dxa"/>
            </w:tcMar>
          </w:tcPr>
          <w:p>
            <w:pPr>
              <w:pStyle w:val="Normal"/>
              <w:tabs>
                <w:tab w:val="clear" w:pos="708"/>
              </w:tabs>
              <w:bidi w:val="0"/>
              <w:ind w:hanging="0" w:start="0" w:end="0"/>
              <w:jc w:val="both"/>
              <w:rPr>
                <w:rFonts w:ascii="Times New Roman" w:hAnsi="Times New Roman"/>
                <w:b/>
                <w:bCs/>
                <w:vertAlign w:val="superscript"/>
              </w:rPr>
            </w:pPr>
            <w:r>
              <w:rPr>
                <w:b/>
                <w:bCs/>
              </w:rPr>
              <w:t xml:space="preserve"> </w:t>
            </w:r>
            <w:r>
              <w:rPr>
                <w:b/>
                <w:bCs/>
              </w:rPr>
              <w:t xml:space="preserve">За внесение записей о списании ценных бумаг с лицевого счета зарегистрированного лица и зачислении ценных бумаг на лицевой счет другого зарегистрированного лица </w:t>
            </w:r>
            <w:r>
              <w:rPr>
                <w:bCs/>
              </w:rPr>
              <w:t xml:space="preserve">(за исключением случаев, предусмотренных п.4 и п.9 Прейскуранта), </w:t>
            </w:r>
            <w:r>
              <w:rPr/>
              <w:t>в совокупности за обе операции при стоимости ценных бумаг</w:t>
            </w:r>
            <w:r>
              <w:rPr>
                <w:rStyle w:val="EndnoteReference"/>
              </w:rPr>
              <w:endnoteReference w:id="3"/>
            </w:r>
            <w:r>
              <w:rPr/>
              <w:t>:</w:t>
            </w:r>
          </w:p>
        </w:tc>
        <w:tc>
          <w:tcPr>
            <w:tcW w:w="1560" w:type="dxa"/>
            <w:tcBorders>
              <w:top w:val="double" w:sz="2" w:space="0" w:color="000000"/>
              <w:start w:val="single" w:sz="6" w:space="0" w:color="000000"/>
              <w:bottom w:val="single" w:sz="6" w:space="0" w:color="000000"/>
              <w:end w:val="double" w:sz="2" w:space="0" w:color="000000"/>
            </w:tcBorders>
            <w:tcMar>
              <w:start w:w="71" w:type="dxa"/>
              <w:end w:w="71" w:type="dxa"/>
            </w:tcMar>
            <w:vAlign w:val="bottom"/>
          </w:tcPr>
          <w:p>
            <w:pPr>
              <w:pStyle w:val="Normal"/>
              <w:tabs>
                <w:tab w:val="clear" w:pos="708"/>
              </w:tabs>
              <w:bidi w:val="0"/>
              <w:ind w:hanging="0" w:start="0" w:end="0"/>
              <w:jc w:val="end"/>
              <w:rPr>
                <w:rFonts w:ascii="Times New Roman" w:hAnsi="Times New Roman"/>
              </w:rPr>
            </w:pPr>
            <w:r>
              <w:rPr/>
            </w:r>
          </w:p>
        </w:tc>
      </w:tr>
      <w:tr>
        <w:trPr/>
        <w:tc>
          <w:tcPr>
            <w:tcW w:w="645" w:type="dxa"/>
            <w:tcBorders>
              <w:top w:val="single" w:sz="6" w:space="0" w:color="000000"/>
              <w:start w:val="double" w:sz="2" w:space="0" w:color="000000"/>
              <w:bottom w:val="single" w:sz="6" w:space="0" w:color="000000"/>
              <w:end w:val="single" w:sz="6" w:space="0" w:color="000000"/>
            </w:tcBorders>
            <w:tcMar>
              <w:start w:w="71" w:type="dxa"/>
              <w:end w:w="71" w:type="dxa"/>
            </w:tcMar>
          </w:tcPr>
          <w:p>
            <w:pPr>
              <w:pStyle w:val="Normal"/>
              <w:tabs>
                <w:tab w:val="clear" w:pos="708"/>
              </w:tabs>
              <w:bidi w:val="0"/>
              <w:ind w:hanging="0" w:start="0" w:end="0"/>
              <w:jc w:val="end"/>
              <w:rPr/>
            </w:pPr>
            <w:r>
              <w:rPr>
                <w:b/>
              </w:rPr>
              <w:t>3.1.</w:t>
            </w:r>
          </w:p>
        </w:tc>
        <w:tc>
          <w:tcPr>
            <w:tcW w:w="8072" w:type="dxa"/>
            <w:tcBorders>
              <w:top w:val="single" w:sz="6" w:space="0" w:color="000000"/>
              <w:start w:val="single" w:sz="6" w:space="0" w:color="000000"/>
              <w:bottom w:val="single" w:sz="6" w:space="0" w:color="000000"/>
              <w:end w:val="single" w:sz="6" w:space="0" w:color="000000"/>
            </w:tcBorders>
            <w:tcMar>
              <w:start w:w="71" w:type="dxa"/>
              <w:end w:w="71" w:type="dxa"/>
            </w:tcMar>
          </w:tcPr>
          <w:p>
            <w:pPr>
              <w:pStyle w:val="Normal"/>
              <w:tabs>
                <w:tab w:val="clear" w:pos="708"/>
              </w:tabs>
              <w:bidi w:val="0"/>
              <w:ind w:hanging="0" w:start="0" w:end="0"/>
              <w:rPr/>
            </w:pPr>
            <w:r>
              <w:rPr>
                <w:b/>
                <w:bCs/>
              </w:rPr>
              <w:t>не более 3 000 руб.</w:t>
            </w:r>
          </w:p>
        </w:tc>
        <w:tc>
          <w:tcPr>
            <w:tcW w:w="1560" w:type="dxa"/>
            <w:tcBorders>
              <w:top w:val="single" w:sz="6" w:space="0" w:color="000000"/>
              <w:start w:val="single" w:sz="6" w:space="0" w:color="000000"/>
              <w:bottom w:val="single" w:sz="6" w:space="0" w:color="000000"/>
              <w:end w:val="double" w:sz="2" w:space="0" w:color="000000"/>
            </w:tcBorders>
            <w:tcMar>
              <w:start w:w="71" w:type="dxa"/>
              <w:end w:w="71" w:type="dxa"/>
            </w:tcMar>
            <w:vAlign w:val="bottom"/>
          </w:tcPr>
          <w:p>
            <w:pPr>
              <w:pStyle w:val="Normal"/>
              <w:tabs>
                <w:tab w:val="clear" w:pos="708"/>
              </w:tabs>
              <w:bidi w:val="0"/>
              <w:ind w:hanging="0" w:start="0" w:end="0"/>
              <w:jc w:val="end"/>
              <w:rPr/>
            </w:pPr>
            <w:r>
              <w:rPr/>
              <w:t>300</w:t>
            </w:r>
          </w:p>
        </w:tc>
      </w:tr>
      <w:tr>
        <w:trPr/>
        <w:tc>
          <w:tcPr>
            <w:tcW w:w="645" w:type="dxa"/>
            <w:tcBorders>
              <w:top w:val="single" w:sz="6" w:space="0" w:color="000000"/>
              <w:start w:val="double" w:sz="2" w:space="0" w:color="000000"/>
              <w:bottom w:val="single" w:sz="6" w:space="0" w:color="000000"/>
              <w:end w:val="single" w:sz="6" w:space="0" w:color="000000"/>
            </w:tcBorders>
            <w:tcMar>
              <w:start w:w="71" w:type="dxa"/>
              <w:end w:w="71" w:type="dxa"/>
            </w:tcMar>
          </w:tcPr>
          <w:p>
            <w:pPr>
              <w:pStyle w:val="Normal"/>
              <w:bidi w:val="0"/>
              <w:ind w:hanging="0" w:start="0" w:end="0"/>
              <w:jc w:val="end"/>
              <w:rPr/>
            </w:pPr>
            <w:r>
              <w:rPr>
                <w:b/>
              </w:rPr>
              <w:t>3.2.</w:t>
            </w:r>
          </w:p>
        </w:tc>
        <w:tc>
          <w:tcPr>
            <w:tcW w:w="8072" w:type="dxa"/>
            <w:tcBorders>
              <w:top w:val="single" w:sz="6" w:space="0" w:color="000000"/>
              <w:start w:val="single" w:sz="6" w:space="0" w:color="000000"/>
              <w:bottom w:val="single" w:sz="6" w:space="0" w:color="000000"/>
              <w:end w:val="single" w:sz="6" w:space="0" w:color="000000"/>
            </w:tcBorders>
            <w:tcMar>
              <w:start w:w="71" w:type="dxa"/>
              <w:end w:w="71" w:type="dxa"/>
            </w:tcMar>
          </w:tcPr>
          <w:p>
            <w:pPr>
              <w:pStyle w:val="Normal"/>
              <w:bidi w:val="0"/>
              <w:ind w:hanging="0" w:start="0" w:end="0"/>
              <w:rPr/>
            </w:pPr>
            <w:r>
              <w:rPr>
                <w:b/>
                <w:bCs/>
              </w:rPr>
              <w:t>более 3 000 руб., но не более 600 000 руб.</w:t>
            </w:r>
          </w:p>
        </w:tc>
        <w:tc>
          <w:tcPr>
            <w:tcW w:w="1560" w:type="dxa"/>
            <w:tcBorders>
              <w:top w:val="single" w:sz="6" w:space="0" w:color="000000"/>
              <w:start w:val="single" w:sz="6" w:space="0" w:color="000000"/>
              <w:bottom w:val="single" w:sz="6" w:space="0" w:color="000000"/>
              <w:end w:val="double" w:sz="2" w:space="0" w:color="000000"/>
            </w:tcBorders>
            <w:tcMar>
              <w:start w:w="71" w:type="dxa"/>
              <w:end w:w="71" w:type="dxa"/>
            </w:tcMar>
            <w:vAlign w:val="bottom"/>
          </w:tcPr>
          <w:p>
            <w:pPr>
              <w:pStyle w:val="Normal"/>
              <w:bidi w:val="0"/>
              <w:ind w:hanging="0" w:start="0" w:end="0"/>
              <w:jc w:val="end"/>
              <w:rPr/>
            </w:pPr>
            <w:r>
              <w:rPr/>
              <w:t>3 000</w:t>
            </w:r>
          </w:p>
        </w:tc>
      </w:tr>
      <w:tr>
        <w:trPr/>
        <w:tc>
          <w:tcPr>
            <w:tcW w:w="645" w:type="dxa"/>
            <w:tcBorders>
              <w:top w:val="single" w:sz="6" w:space="0" w:color="000000"/>
              <w:start w:val="double" w:sz="2" w:space="0" w:color="000000"/>
              <w:bottom w:val="single" w:sz="6" w:space="0" w:color="000000"/>
              <w:end w:val="single" w:sz="6" w:space="0" w:color="000000"/>
            </w:tcBorders>
            <w:tcMar>
              <w:start w:w="71" w:type="dxa"/>
              <w:end w:w="71" w:type="dxa"/>
            </w:tcMar>
          </w:tcPr>
          <w:p>
            <w:pPr>
              <w:pStyle w:val="Normal"/>
              <w:bidi w:val="0"/>
              <w:ind w:hanging="0" w:start="0" w:end="0"/>
              <w:jc w:val="end"/>
              <w:rPr/>
            </w:pPr>
            <w:r>
              <w:rPr>
                <w:b/>
              </w:rPr>
              <w:t>3.3.</w:t>
            </w:r>
          </w:p>
        </w:tc>
        <w:tc>
          <w:tcPr>
            <w:tcW w:w="8072" w:type="dxa"/>
            <w:tcBorders>
              <w:top w:val="single" w:sz="6" w:space="0" w:color="000000"/>
              <w:start w:val="single" w:sz="6" w:space="0" w:color="000000"/>
              <w:bottom w:val="single" w:sz="6" w:space="0" w:color="000000"/>
              <w:end w:val="single" w:sz="6" w:space="0" w:color="000000"/>
            </w:tcBorders>
            <w:tcMar>
              <w:start w:w="71" w:type="dxa"/>
              <w:end w:w="71" w:type="dxa"/>
            </w:tcMar>
          </w:tcPr>
          <w:p>
            <w:pPr>
              <w:pStyle w:val="Normal"/>
              <w:bidi w:val="0"/>
              <w:ind w:hanging="0" w:start="0" w:end="0"/>
              <w:rPr/>
            </w:pPr>
            <w:r>
              <w:rPr>
                <w:b/>
                <w:bCs/>
              </w:rPr>
              <w:t xml:space="preserve">более 600 000 руб., но не более 1 400 000 руб.  </w:t>
            </w:r>
          </w:p>
        </w:tc>
        <w:tc>
          <w:tcPr>
            <w:tcW w:w="1560" w:type="dxa"/>
            <w:tcBorders>
              <w:top w:val="single" w:sz="6" w:space="0" w:color="000000"/>
              <w:start w:val="single" w:sz="6" w:space="0" w:color="000000"/>
              <w:bottom w:val="single" w:sz="6" w:space="0" w:color="000000"/>
              <w:end w:val="double" w:sz="2" w:space="0" w:color="000000"/>
            </w:tcBorders>
            <w:tcMar>
              <w:start w:w="71" w:type="dxa"/>
              <w:end w:w="71" w:type="dxa"/>
            </w:tcMar>
            <w:vAlign w:val="bottom"/>
          </w:tcPr>
          <w:p>
            <w:pPr>
              <w:pStyle w:val="Normal"/>
              <w:bidi w:val="0"/>
              <w:ind w:hanging="0" w:start="0" w:end="0"/>
              <w:jc w:val="end"/>
              <w:rPr/>
            </w:pPr>
            <w:r>
              <w:rPr/>
              <w:t>7 000</w:t>
            </w:r>
          </w:p>
        </w:tc>
      </w:tr>
      <w:tr>
        <w:trPr/>
        <w:tc>
          <w:tcPr>
            <w:tcW w:w="645" w:type="dxa"/>
            <w:tcBorders>
              <w:top w:val="single" w:sz="6" w:space="0" w:color="000000"/>
              <w:start w:val="double" w:sz="2" w:space="0" w:color="000000"/>
              <w:bottom w:val="single" w:sz="6" w:space="0" w:color="000000"/>
              <w:end w:val="single" w:sz="6" w:space="0" w:color="000000"/>
            </w:tcBorders>
            <w:tcMar>
              <w:start w:w="71" w:type="dxa"/>
              <w:end w:w="71" w:type="dxa"/>
            </w:tcMar>
          </w:tcPr>
          <w:p>
            <w:pPr>
              <w:pStyle w:val="Normal"/>
              <w:bidi w:val="0"/>
              <w:ind w:hanging="0" w:start="0" w:end="0"/>
              <w:jc w:val="end"/>
              <w:rPr/>
            </w:pPr>
            <w:r>
              <w:rPr>
                <w:b/>
              </w:rPr>
              <w:t>3.4.</w:t>
            </w:r>
          </w:p>
        </w:tc>
        <w:tc>
          <w:tcPr>
            <w:tcW w:w="8072" w:type="dxa"/>
            <w:tcBorders>
              <w:top w:val="single" w:sz="6" w:space="0" w:color="000000"/>
              <w:start w:val="single" w:sz="6" w:space="0" w:color="000000"/>
              <w:bottom w:val="single" w:sz="6" w:space="0" w:color="000000"/>
              <w:end w:val="single" w:sz="6" w:space="0" w:color="000000"/>
            </w:tcBorders>
            <w:tcMar>
              <w:start w:w="71" w:type="dxa"/>
              <w:end w:w="71" w:type="dxa"/>
            </w:tcMar>
          </w:tcPr>
          <w:p>
            <w:pPr>
              <w:pStyle w:val="Normal"/>
              <w:bidi w:val="0"/>
              <w:ind w:hanging="0" w:start="0" w:end="0"/>
              <w:rPr/>
            </w:pPr>
            <w:r>
              <w:rPr>
                <w:b/>
                <w:bCs/>
              </w:rPr>
              <w:t xml:space="preserve">более 1 400 000 руб., но не более 10 000 000 руб.  </w:t>
            </w:r>
          </w:p>
        </w:tc>
        <w:tc>
          <w:tcPr>
            <w:tcW w:w="1560" w:type="dxa"/>
            <w:tcBorders>
              <w:top w:val="single" w:sz="6" w:space="0" w:color="000000"/>
              <w:start w:val="single" w:sz="6" w:space="0" w:color="000000"/>
              <w:bottom w:val="single" w:sz="6" w:space="0" w:color="000000"/>
              <w:end w:val="double" w:sz="2" w:space="0" w:color="000000"/>
            </w:tcBorders>
            <w:tcMar>
              <w:start w:w="71" w:type="dxa"/>
              <w:end w:w="71" w:type="dxa"/>
            </w:tcMar>
            <w:vAlign w:val="bottom"/>
          </w:tcPr>
          <w:p>
            <w:pPr>
              <w:pStyle w:val="Normal"/>
              <w:bidi w:val="0"/>
              <w:ind w:hanging="0" w:start="0" w:end="0"/>
              <w:jc w:val="end"/>
              <w:rPr/>
            </w:pPr>
            <w:r>
              <w:rPr/>
              <w:t>50 000</w:t>
            </w:r>
          </w:p>
        </w:tc>
      </w:tr>
      <w:tr>
        <w:trPr/>
        <w:tc>
          <w:tcPr>
            <w:tcW w:w="645" w:type="dxa"/>
            <w:tcBorders>
              <w:top w:val="single" w:sz="6" w:space="0" w:color="000000"/>
              <w:start w:val="double" w:sz="2" w:space="0" w:color="000000"/>
              <w:bottom w:val="single" w:sz="6" w:space="0" w:color="000000"/>
              <w:end w:val="single" w:sz="6" w:space="0" w:color="000000"/>
            </w:tcBorders>
            <w:tcMar>
              <w:start w:w="71" w:type="dxa"/>
              <w:end w:w="71" w:type="dxa"/>
            </w:tcMar>
          </w:tcPr>
          <w:p>
            <w:pPr>
              <w:pStyle w:val="Normal"/>
              <w:bidi w:val="0"/>
              <w:ind w:hanging="0" w:start="0" w:end="0"/>
              <w:jc w:val="end"/>
              <w:rPr/>
            </w:pPr>
            <w:r>
              <w:rPr>
                <w:b/>
              </w:rPr>
              <w:t>3.5.</w:t>
            </w:r>
          </w:p>
        </w:tc>
        <w:tc>
          <w:tcPr>
            <w:tcW w:w="8072" w:type="dxa"/>
            <w:tcBorders>
              <w:top w:val="single" w:sz="6" w:space="0" w:color="000000"/>
              <w:start w:val="single" w:sz="6" w:space="0" w:color="000000"/>
              <w:bottom w:val="single" w:sz="6" w:space="0" w:color="000000"/>
              <w:end w:val="single" w:sz="6" w:space="0" w:color="000000"/>
            </w:tcBorders>
            <w:tcMar>
              <w:start w:w="71" w:type="dxa"/>
              <w:end w:w="71" w:type="dxa"/>
            </w:tcMar>
          </w:tcPr>
          <w:p>
            <w:pPr>
              <w:pStyle w:val="Normal"/>
              <w:bidi w:val="0"/>
              <w:ind w:hanging="0" w:start="0" w:end="0"/>
              <w:rPr/>
            </w:pPr>
            <w:r>
              <w:rPr>
                <w:b/>
                <w:bCs/>
              </w:rPr>
              <w:t xml:space="preserve">более 10 000 000 руб., но не более 100 000 000 руб. </w:t>
            </w:r>
          </w:p>
        </w:tc>
        <w:tc>
          <w:tcPr>
            <w:tcW w:w="1560" w:type="dxa"/>
            <w:tcBorders>
              <w:top w:val="single" w:sz="6" w:space="0" w:color="000000"/>
              <w:start w:val="single" w:sz="6" w:space="0" w:color="000000"/>
              <w:bottom w:val="single" w:sz="6" w:space="0" w:color="000000"/>
              <w:end w:val="double" w:sz="2" w:space="0" w:color="000000"/>
            </w:tcBorders>
            <w:tcMar>
              <w:start w:w="71" w:type="dxa"/>
              <w:end w:w="71" w:type="dxa"/>
            </w:tcMar>
            <w:vAlign w:val="bottom"/>
          </w:tcPr>
          <w:p>
            <w:pPr>
              <w:pStyle w:val="Normal"/>
              <w:bidi w:val="0"/>
              <w:ind w:hanging="0" w:start="0" w:end="0"/>
              <w:jc w:val="end"/>
              <w:rPr/>
            </w:pPr>
            <w:r>
              <w:rPr/>
              <w:t>500 000</w:t>
            </w:r>
          </w:p>
        </w:tc>
      </w:tr>
      <w:tr>
        <w:trPr/>
        <w:tc>
          <w:tcPr>
            <w:tcW w:w="645" w:type="dxa"/>
            <w:tcBorders>
              <w:top w:val="single" w:sz="6" w:space="0" w:color="000000"/>
              <w:start w:val="double" w:sz="2" w:space="0" w:color="000000"/>
              <w:bottom w:val="single" w:sz="6" w:space="0" w:color="000000"/>
              <w:end w:val="single" w:sz="6" w:space="0" w:color="000000"/>
            </w:tcBorders>
            <w:tcMar>
              <w:start w:w="71" w:type="dxa"/>
              <w:end w:w="71" w:type="dxa"/>
            </w:tcMar>
          </w:tcPr>
          <w:p>
            <w:pPr>
              <w:pStyle w:val="Normal"/>
              <w:bidi w:val="0"/>
              <w:ind w:hanging="0" w:start="0" w:end="0"/>
              <w:jc w:val="end"/>
              <w:rPr/>
            </w:pPr>
            <w:r>
              <w:rPr>
                <w:b/>
                <w:bCs/>
              </w:rPr>
              <w:t>3.6.</w:t>
            </w:r>
          </w:p>
        </w:tc>
        <w:tc>
          <w:tcPr>
            <w:tcW w:w="8072" w:type="dxa"/>
            <w:tcBorders>
              <w:top w:val="single" w:sz="6" w:space="0" w:color="000000"/>
              <w:start w:val="single" w:sz="6" w:space="0" w:color="000000"/>
              <w:bottom w:val="single" w:sz="6" w:space="0" w:color="000000"/>
              <w:end w:val="single" w:sz="6" w:space="0" w:color="000000"/>
            </w:tcBorders>
            <w:tcMar>
              <w:start w:w="71" w:type="dxa"/>
              <w:end w:w="71" w:type="dxa"/>
            </w:tcMar>
          </w:tcPr>
          <w:p>
            <w:pPr>
              <w:pStyle w:val="Normal"/>
              <w:bidi w:val="0"/>
              <w:ind w:hanging="0" w:start="0" w:end="0"/>
              <w:rPr/>
            </w:pPr>
            <w:r>
              <w:rPr>
                <w:b/>
                <w:bCs/>
              </w:rPr>
              <w:t xml:space="preserve">более 100 000 000 руб. </w:t>
            </w:r>
          </w:p>
        </w:tc>
        <w:tc>
          <w:tcPr>
            <w:tcW w:w="1560" w:type="dxa"/>
            <w:tcBorders>
              <w:top w:val="single" w:sz="6" w:space="0" w:color="000000"/>
              <w:start w:val="single" w:sz="6" w:space="0" w:color="000000"/>
              <w:bottom w:val="single" w:sz="6" w:space="0" w:color="000000"/>
              <w:end w:val="double" w:sz="2" w:space="0" w:color="000000"/>
            </w:tcBorders>
            <w:tcMar>
              <w:start w:w="71" w:type="dxa"/>
              <w:end w:w="71" w:type="dxa"/>
            </w:tcMar>
            <w:vAlign w:val="bottom"/>
          </w:tcPr>
          <w:p>
            <w:pPr>
              <w:pStyle w:val="Normal"/>
              <w:bidi w:val="0"/>
              <w:ind w:hanging="0" w:start="0" w:end="0"/>
              <w:jc w:val="end"/>
              <w:rPr/>
            </w:pPr>
            <w:r>
              <w:rPr/>
              <w:t>1 500 000</w:t>
            </w:r>
          </w:p>
        </w:tc>
      </w:tr>
      <w:tr>
        <w:trPr>
          <w:trHeight w:val="2630" w:hRule="atLeast"/>
        </w:trPr>
        <w:tc>
          <w:tcPr>
            <w:tcW w:w="645" w:type="dxa"/>
            <w:tcBorders>
              <w:start w:val="doub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jc w:val="end"/>
              <w:rPr/>
            </w:pPr>
            <w:r>
              <w:rPr>
                <w:b/>
                <w:bCs/>
              </w:rPr>
              <w:t>4.</w:t>
            </w:r>
          </w:p>
        </w:tc>
        <w:tc>
          <w:tcPr>
            <w:tcW w:w="8072" w:type="dxa"/>
            <w:tcBorders>
              <w:start w:val="sing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jc w:val="both"/>
              <w:rPr>
                <w:rFonts w:ascii="Times New Roman" w:hAnsi="Times New Roman"/>
                <w:b/>
              </w:rPr>
            </w:pPr>
            <w:r>
              <w:rPr>
                <w:b/>
              </w:rPr>
              <w:t>За внесение записей о списании ценных бумаг с лицевого счета номинального держателя, номинального держателя центрального депозитария, доверительного управляющего и зачислении ценных бумаг на лицевой счет владельца, другого номинального держателя, номинального держателя центрального депозитария, доверительного управляющего в совокупности за обе операции, или внесение записей о списании ценных бумаг с лицевого счета владельца и зачислении ценных бумаг на лицевой счет номинального держателя, номинального держателя центрального депозитария, доверительного управляющего в совокупности за обе операции, не связанных с переходом прав собственности на ценные бумаги:</w:t>
            </w:r>
          </w:p>
          <w:p>
            <w:pPr>
              <w:pStyle w:val="Normal"/>
              <w:tabs>
                <w:tab w:val="clear" w:pos="708"/>
              </w:tabs>
              <w:bidi w:val="0"/>
              <w:ind w:hanging="0" w:start="0" w:end="0"/>
              <w:jc w:val="both"/>
              <w:rPr>
                <w:rFonts w:ascii="Times New Roman" w:hAnsi="Times New Roman"/>
                <w:bCs/>
              </w:rPr>
            </w:pPr>
            <w:r>
              <w:rPr>
                <w:bCs/>
              </w:rPr>
              <w:t xml:space="preserve">                                 </w:t>
            </w:r>
            <w:r>
              <w:rPr>
                <w:bCs/>
              </w:rPr>
              <w:t>при стоимости ценных бумаг</w:t>
            </w:r>
            <w:r>
              <w:rPr>
                <w:bCs/>
                <w:vertAlign w:val="superscript"/>
              </w:rPr>
              <w:t>2</w:t>
            </w:r>
            <w:r>
              <w:rPr>
                <w:bCs/>
              </w:rPr>
              <w:t xml:space="preserve">  не более  3 000 руб. </w:t>
            </w:r>
          </w:p>
          <w:p>
            <w:pPr>
              <w:pStyle w:val="Normal"/>
              <w:tabs>
                <w:tab w:val="clear" w:pos="708"/>
              </w:tabs>
              <w:bidi w:val="0"/>
              <w:ind w:hanging="0" w:start="0" w:end="0"/>
              <w:jc w:val="both"/>
              <w:rPr/>
            </w:pPr>
            <w:r>
              <w:rPr>
                <w:bCs/>
              </w:rPr>
              <w:t xml:space="preserve">                                 </w:t>
            </w:r>
            <w:r>
              <w:rPr>
                <w:bCs/>
              </w:rPr>
              <w:t>при стоимости ценных бумаг</w:t>
            </w:r>
            <w:r>
              <w:rPr>
                <w:bCs/>
                <w:vertAlign w:val="superscript"/>
              </w:rPr>
              <w:t>2</w:t>
            </w:r>
            <w:r>
              <w:rPr>
                <w:bCs/>
              </w:rPr>
              <w:t xml:space="preserve"> более 3 000 руб. </w:t>
            </w:r>
          </w:p>
        </w:tc>
        <w:tc>
          <w:tcPr>
            <w:tcW w:w="1560" w:type="dxa"/>
            <w:tcBorders>
              <w:start w:val="single" w:sz="6" w:space="0" w:color="000000"/>
              <w:bottom w:val="double" w:sz="6" w:space="0" w:color="000000"/>
              <w:end w:val="double" w:sz="6" w:space="0" w:color="000000"/>
            </w:tcBorders>
            <w:tcMar>
              <w:start w:w="71" w:type="dxa"/>
              <w:end w:w="71" w:type="dxa"/>
            </w:tcMar>
            <w:vAlign w:val="bottom"/>
          </w:tcPr>
          <w:p>
            <w:pPr>
              <w:pStyle w:val="Normal"/>
              <w:tabs>
                <w:tab w:val="clear" w:pos="708"/>
              </w:tabs>
              <w:bidi w:val="0"/>
              <w:ind w:hanging="0" w:start="0" w:end="0"/>
              <w:jc w:val="end"/>
              <w:rPr>
                <w:rFonts w:ascii="Times New Roman" w:hAnsi="Times New Roman"/>
              </w:rPr>
            </w:pPr>
            <w:r>
              <w:rPr/>
              <w:t>300</w:t>
            </w:r>
          </w:p>
          <w:p>
            <w:pPr>
              <w:pStyle w:val="Normal"/>
              <w:tabs>
                <w:tab w:val="clear" w:pos="708"/>
              </w:tabs>
              <w:bidi w:val="0"/>
              <w:ind w:hanging="0" w:start="0" w:end="0"/>
              <w:jc w:val="end"/>
              <w:rPr/>
            </w:pPr>
            <w:r>
              <w:rPr/>
              <w:t>1 000</w:t>
            </w:r>
          </w:p>
        </w:tc>
      </w:tr>
      <w:tr>
        <w:trPr/>
        <w:tc>
          <w:tcPr>
            <w:tcW w:w="645" w:type="dxa"/>
            <w:tcBorders>
              <w:start w:val="doub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jc w:val="end"/>
              <w:rPr/>
            </w:pPr>
            <w:r>
              <w:rPr>
                <w:b/>
                <w:bCs/>
              </w:rPr>
              <w:t>5.</w:t>
            </w:r>
          </w:p>
        </w:tc>
        <w:tc>
          <w:tcPr>
            <w:tcW w:w="8072" w:type="dxa"/>
            <w:tcBorders>
              <w:start w:val="sing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jc w:val="both"/>
              <w:rPr/>
            </w:pPr>
            <w:r>
              <w:rPr>
                <w:b/>
                <w:bCs/>
              </w:rPr>
              <w:t xml:space="preserve">Проведение операций по списанию или зачислению ценных бумаг с депозитного счета (на депозитный счет) нотариуса, за одно распоряжение: </w:t>
            </w:r>
          </w:p>
        </w:tc>
        <w:tc>
          <w:tcPr>
            <w:tcW w:w="1560" w:type="dxa"/>
            <w:tcBorders>
              <w:start w:val="single" w:sz="6" w:space="0" w:color="000000"/>
              <w:bottom w:val="double" w:sz="6" w:space="0" w:color="000000"/>
              <w:end w:val="double" w:sz="6" w:space="0" w:color="000000"/>
            </w:tcBorders>
            <w:tcMar>
              <w:start w:w="71" w:type="dxa"/>
              <w:end w:w="71" w:type="dxa"/>
            </w:tcMar>
            <w:vAlign w:val="bottom"/>
          </w:tcPr>
          <w:p>
            <w:pPr>
              <w:pStyle w:val="Normal"/>
              <w:tabs>
                <w:tab w:val="clear" w:pos="708"/>
              </w:tabs>
              <w:bidi w:val="0"/>
              <w:ind w:hanging="0" w:start="0" w:end="0"/>
              <w:jc w:val="end"/>
              <w:rPr/>
            </w:pPr>
            <w:r>
              <w:rPr/>
              <w:t>1 500</w:t>
            </w:r>
          </w:p>
        </w:tc>
      </w:tr>
      <w:tr>
        <w:trPr/>
        <w:tc>
          <w:tcPr>
            <w:tcW w:w="645" w:type="dxa"/>
            <w:tcBorders>
              <w:top w:val="double" w:sz="6" w:space="0" w:color="000000"/>
              <w:start w:val="double" w:sz="6" w:space="0" w:color="000000"/>
              <w:end w:val="single" w:sz="6" w:space="0" w:color="000000"/>
            </w:tcBorders>
            <w:tcMar>
              <w:start w:w="71" w:type="dxa"/>
              <w:end w:w="71" w:type="dxa"/>
            </w:tcMar>
          </w:tcPr>
          <w:p>
            <w:pPr>
              <w:pStyle w:val="Normal"/>
              <w:tabs>
                <w:tab w:val="clear" w:pos="708"/>
              </w:tabs>
              <w:bidi w:val="0"/>
              <w:ind w:hanging="0" w:start="0" w:end="0"/>
              <w:jc w:val="end"/>
              <w:rPr>
                <w:lang w:val="en-US"/>
              </w:rPr>
            </w:pPr>
            <w:r>
              <w:rPr>
                <w:b/>
                <w:bCs/>
                <w:lang w:val="en-US"/>
              </w:rPr>
              <w:t>6</w:t>
            </w:r>
            <w:r>
              <w:rPr>
                <w:b/>
                <w:bCs/>
              </w:rPr>
              <w:t>.</w:t>
            </w:r>
          </w:p>
        </w:tc>
        <w:tc>
          <w:tcPr>
            <w:tcW w:w="8072" w:type="dxa"/>
            <w:tcBorders>
              <w:top w:val="double" w:sz="6" w:space="0" w:color="000000"/>
              <w:start w:val="single" w:sz="6" w:space="0" w:color="000000"/>
              <w:end w:val="single" w:sz="6" w:space="0" w:color="000000"/>
            </w:tcBorders>
            <w:tcMar>
              <w:start w:w="71" w:type="dxa"/>
              <w:end w:w="71" w:type="dxa"/>
            </w:tcMar>
          </w:tcPr>
          <w:p>
            <w:pPr>
              <w:pStyle w:val="Normal"/>
              <w:tabs>
                <w:tab w:val="clear" w:pos="708"/>
              </w:tabs>
              <w:bidi w:val="0"/>
              <w:ind w:hanging="0" w:start="0" w:end="0"/>
              <w:jc w:val="both"/>
              <w:rPr/>
            </w:pPr>
            <w:r>
              <w:rPr>
                <w:b/>
                <w:bCs/>
              </w:rPr>
              <w:t>За внесение записи по лицевому счету об обременении (прекращении обременения) ценных бумаг</w:t>
            </w:r>
          </w:p>
        </w:tc>
        <w:tc>
          <w:tcPr>
            <w:tcW w:w="1560" w:type="dxa"/>
            <w:tcBorders>
              <w:top w:val="double" w:sz="6" w:space="0" w:color="000000"/>
              <w:start w:val="single" w:sz="6" w:space="0" w:color="000000"/>
              <w:end w:val="double" w:sz="6" w:space="0" w:color="000000"/>
            </w:tcBorders>
            <w:tcMar>
              <w:start w:w="71" w:type="dxa"/>
              <w:end w:w="71" w:type="dxa"/>
            </w:tcMar>
            <w:vAlign w:val="bottom"/>
          </w:tcPr>
          <w:p>
            <w:pPr>
              <w:pStyle w:val="Normal"/>
              <w:tabs>
                <w:tab w:val="clear" w:pos="708"/>
              </w:tabs>
              <w:bidi w:val="0"/>
              <w:ind w:hanging="0" w:start="0" w:end="0"/>
              <w:jc w:val="end"/>
              <w:rPr/>
            </w:pPr>
            <w:r>
              <w:rPr/>
              <w:t>1 500</w:t>
            </w:r>
          </w:p>
        </w:tc>
      </w:tr>
      <w:tr>
        <w:trPr/>
        <w:tc>
          <w:tcPr>
            <w:tcW w:w="645" w:type="dxa"/>
            <w:tcBorders>
              <w:top w:val="double" w:sz="6" w:space="0" w:color="000000"/>
              <w:start w:val="doub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jc w:val="end"/>
              <w:rPr/>
            </w:pPr>
            <w:r>
              <w:rPr>
                <w:b/>
                <w:bCs/>
              </w:rPr>
              <w:t>7.</w:t>
            </w:r>
          </w:p>
        </w:tc>
        <w:tc>
          <w:tcPr>
            <w:tcW w:w="8072" w:type="dxa"/>
            <w:tcBorders>
              <w:top w:val="double" w:sz="6" w:space="0" w:color="000000"/>
              <w:start w:val="sing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jc w:val="both"/>
              <w:rPr/>
            </w:pPr>
            <w:r>
              <w:rPr>
                <w:b/>
                <w:bCs/>
              </w:rPr>
              <w:t>За внесение записи по лицевому счету об изменении сведений, содержащихся в записи об обременении ценных бумаг, за исключением внесения записи по лицевому счету о прекращении обременения ценных бумаг</w:t>
            </w:r>
          </w:p>
        </w:tc>
        <w:tc>
          <w:tcPr>
            <w:tcW w:w="1560" w:type="dxa"/>
            <w:tcBorders>
              <w:top w:val="double" w:sz="6" w:space="0" w:color="000000"/>
              <w:start w:val="single" w:sz="6" w:space="0" w:color="000000"/>
              <w:bottom w:val="double" w:sz="6" w:space="0" w:color="000000"/>
              <w:end w:val="double" w:sz="6" w:space="0" w:color="000000"/>
            </w:tcBorders>
            <w:tcMar>
              <w:start w:w="71" w:type="dxa"/>
              <w:end w:w="71" w:type="dxa"/>
            </w:tcMar>
            <w:vAlign w:val="bottom"/>
          </w:tcPr>
          <w:p>
            <w:pPr>
              <w:pStyle w:val="Normal"/>
              <w:tabs>
                <w:tab w:val="clear" w:pos="708"/>
              </w:tabs>
              <w:bidi w:val="0"/>
              <w:ind w:hanging="0" w:start="0" w:end="0"/>
              <w:jc w:val="end"/>
              <w:rPr/>
            </w:pPr>
            <w:r>
              <w:rPr/>
              <w:t>1 500</w:t>
            </w:r>
          </w:p>
        </w:tc>
      </w:tr>
      <w:tr>
        <w:trPr/>
        <w:tc>
          <w:tcPr>
            <w:tcW w:w="645" w:type="dxa"/>
            <w:tcBorders>
              <w:top w:val="double" w:sz="6" w:space="0" w:color="000000"/>
              <w:start w:val="double" w:sz="6" w:space="0" w:color="000000"/>
              <w:end w:val="single" w:sz="6" w:space="0" w:color="000000"/>
            </w:tcBorders>
            <w:tcMar>
              <w:start w:w="71" w:type="dxa"/>
              <w:end w:w="71" w:type="dxa"/>
            </w:tcMar>
          </w:tcPr>
          <w:p>
            <w:pPr>
              <w:pStyle w:val="Normal"/>
              <w:tabs>
                <w:tab w:val="clear" w:pos="708"/>
              </w:tabs>
              <w:bidi w:val="0"/>
              <w:ind w:hanging="0" w:start="0" w:end="0"/>
              <w:jc w:val="end"/>
              <w:rPr/>
            </w:pPr>
            <w:r>
              <w:rPr>
                <w:b/>
                <w:bCs/>
              </w:rPr>
              <w:t>8.</w:t>
            </w:r>
          </w:p>
        </w:tc>
        <w:tc>
          <w:tcPr>
            <w:tcW w:w="8072" w:type="dxa"/>
            <w:tcBorders>
              <w:top w:val="double" w:sz="6" w:space="0" w:color="000000"/>
              <w:start w:val="single" w:sz="6" w:space="0" w:color="000000"/>
              <w:end w:val="single" w:sz="6" w:space="0" w:color="000000"/>
            </w:tcBorders>
            <w:tcMar>
              <w:start w:w="71" w:type="dxa"/>
              <w:end w:w="71" w:type="dxa"/>
            </w:tcMar>
          </w:tcPr>
          <w:p>
            <w:pPr>
              <w:pStyle w:val="Normal"/>
              <w:tabs>
                <w:tab w:val="clear" w:pos="708"/>
              </w:tabs>
              <w:bidi w:val="0"/>
              <w:ind w:hanging="0" w:start="0" w:end="0"/>
              <w:jc w:val="both"/>
              <w:rPr/>
            </w:pPr>
            <w:r>
              <w:rPr>
                <w:b/>
                <w:bCs/>
              </w:rPr>
              <w:t xml:space="preserve">За внесение записи об ограничении/снятии ограничения  распоряжения ценными бумагами по лицевому счету зарегистрированного лица (гл. </w:t>
            </w:r>
            <w:r>
              <w:rPr>
                <w:b/>
                <w:bCs/>
                <w:lang w:val="en-US"/>
              </w:rPr>
              <w:t>XI</w:t>
            </w:r>
            <w:r>
              <w:rPr>
                <w:b/>
                <w:bCs/>
              </w:rPr>
              <w:t>.1, ст. 72,76 Федерального закона «Об акционерных обществах» № 208-ФЗ)</w:t>
            </w:r>
          </w:p>
        </w:tc>
        <w:tc>
          <w:tcPr>
            <w:tcW w:w="1560" w:type="dxa"/>
            <w:tcBorders>
              <w:top w:val="double" w:sz="6" w:space="0" w:color="000000"/>
              <w:start w:val="single" w:sz="6" w:space="0" w:color="000000"/>
              <w:end w:val="double" w:sz="6" w:space="0" w:color="000000"/>
            </w:tcBorders>
            <w:tcMar>
              <w:start w:w="71" w:type="dxa"/>
              <w:end w:w="71" w:type="dxa"/>
            </w:tcMar>
            <w:vAlign w:val="bottom"/>
          </w:tcPr>
          <w:p>
            <w:pPr>
              <w:pStyle w:val="Normal"/>
              <w:tabs>
                <w:tab w:val="clear" w:pos="708"/>
              </w:tabs>
              <w:bidi w:val="0"/>
              <w:ind w:hanging="0" w:start="0" w:end="0"/>
              <w:jc w:val="end"/>
              <w:rPr/>
            </w:pPr>
            <w:r>
              <w:rPr/>
              <w:t>500</w:t>
            </w:r>
          </w:p>
        </w:tc>
      </w:tr>
      <w:tr>
        <w:trPr/>
        <w:tc>
          <w:tcPr>
            <w:tcW w:w="645" w:type="dxa"/>
            <w:tcBorders>
              <w:top w:val="double" w:sz="6" w:space="0" w:color="000000"/>
              <w:start w:val="double" w:sz="6" w:space="0" w:color="000000"/>
              <w:end w:val="single" w:sz="6" w:space="0" w:color="000000"/>
            </w:tcBorders>
            <w:tcMar>
              <w:start w:w="71" w:type="dxa"/>
              <w:end w:w="71" w:type="dxa"/>
            </w:tcMar>
          </w:tcPr>
          <w:p>
            <w:pPr>
              <w:pStyle w:val="Normal"/>
              <w:bidi w:val="0"/>
              <w:ind w:hanging="0" w:start="0" w:end="0"/>
              <w:jc w:val="end"/>
              <w:rPr/>
            </w:pPr>
            <w:r>
              <w:rPr>
                <w:b/>
                <w:bCs/>
              </w:rPr>
              <w:t>9.</w:t>
            </w:r>
          </w:p>
        </w:tc>
        <w:tc>
          <w:tcPr>
            <w:tcW w:w="8072" w:type="dxa"/>
            <w:tcBorders>
              <w:top w:val="double" w:sz="6" w:space="0" w:color="000000"/>
              <w:start w:val="single" w:sz="6" w:space="0" w:color="000000"/>
              <w:end w:val="single" w:sz="6" w:space="0" w:color="000000"/>
            </w:tcBorders>
            <w:tcMar>
              <w:start w:w="71" w:type="dxa"/>
              <w:end w:w="71" w:type="dxa"/>
            </w:tcMar>
          </w:tcPr>
          <w:p>
            <w:pPr>
              <w:pStyle w:val="Normal"/>
              <w:bidi w:val="0"/>
              <w:ind w:hanging="0" w:start="0" w:end="0"/>
              <w:jc w:val="both"/>
              <w:rPr/>
            </w:pPr>
            <w:r>
              <w:rPr>
                <w:b/>
                <w:bCs/>
              </w:rPr>
              <w:t>За внесение записей о списании и зачислении ценных бумаг в результате реорганизации юридического лица в форме преобразования,</w:t>
            </w:r>
            <w:r>
              <w:rPr>
                <w:sz w:val="22"/>
              </w:rPr>
              <w:t xml:space="preserve"> </w:t>
            </w:r>
            <w:r>
              <w:rPr/>
              <w:t>в совокупности за обе операции</w:t>
            </w:r>
          </w:p>
        </w:tc>
        <w:tc>
          <w:tcPr>
            <w:tcW w:w="1560" w:type="dxa"/>
            <w:tcBorders>
              <w:top w:val="double" w:sz="6" w:space="0" w:color="000000"/>
              <w:start w:val="single" w:sz="6" w:space="0" w:color="000000"/>
              <w:end w:val="double" w:sz="6" w:space="0" w:color="000000"/>
            </w:tcBorders>
            <w:tcMar>
              <w:start w:w="71" w:type="dxa"/>
              <w:end w:w="71" w:type="dxa"/>
            </w:tcMar>
            <w:vAlign w:val="bottom"/>
          </w:tcPr>
          <w:p>
            <w:pPr>
              <w:pStyle w:val="Normal"/>
              <w:bidi w:val="0"/>
              <w:ind w:hanging="0" w:start="0" w:end="0"/>
              <w:jc w:val="end"/>
              <w:rPr/>
            </w:pPr>
            <w:r>
              <w:rPr/>
              <w:t>3 000</w:t>
            </w:r>
          </w:p>
        </w:tc>
      </w:tr>
      <w:tr>
        <w:trPr/>
        <w:tc>
          <w:tcPr>
            <w:tcW w:w="645" w:type="dxa"/>
            <w:tcBorders>
              <w:top w:val="double" w:sz="6" w:space="0" w:color="000000"/>
              <w:start w:val="double" w:sz="6" w:space="0" w:color="000000"/>
              <w:end w:val="single" w:sz="6" w:space="0" w:color="000000"/>
            </w:tcBorders>
            <w:tcMar>
              <w:start w:w="71" w:type="dxa"/>
              <w:end w:w="71" w:type="dxa"/>
            </w:tcMar>
          </w:tcPr>
          <w:p>
            <w:pPr>
              <w:pStyle w:val="Normal"/>
              <w:bidi w:val="0"/>
              <w:ind w:hanging="0" w:start="0" w:end="0"/>
              <w:jc w:val="end"/>
              <w:rPr/>
            </w:pPr>
            <w:r>
              <w:rPr>
                <w:b/>
                <w:bCs/>
              </w:rPr>
              <w:t>10.</w:t>
            </w:r>
          </w:p>
        </w:tc>
        <w:tc>
          <w:tcPr>
            <w:tcW w:w="8072" w:type="dxa"/>
            <w:tcBorders>
              <w:top w:val="double" w:sz="6" w:space="0" w:color="000000"/>
              <w:start w:val="single" w:sz="6" w:space="0" w:color="000000"/>
              <w:end w:val="single" w:sz="6" w:space="0" w:color="000000"/>
            </w:tcBorders>
            <w:tcMar>
              <w:start w:w="71" w:type="dxa"/>
              <w:end w:w="71" w:type="dxa"/>
            </w:tcMar>
          </w:tcPr>
          <w:p>
            <w:pPr>
              <w:pStyle w:val="Normal"/>
              <w:bidi w:val="0"/>
              <w:ind w:hanging="0" w:start="0" w:end="0"/>
              <w:jc w:val="both"/>
              <w:rPr/>
            </w:pPr>
            <w:r>
              <w:rPr>
                <w:b/>
                <w:bCs/>
              </w:rPr>
              <w:t>Проведение операции  по отмене распоряжения о списании с лицевого счета или зачислении ценных бумаг на лицевой счет номинального держателя Центрального депозитария</w:t>
            </w:r>
          </w:p>
        </w:tc>
        <w:tc>
          <w:tcPr>
            <w:tcW w:w="1560" w:type="dxa"/>
            <w:tcBorders>
              <w:top w:val="double" w:sz="6" w:space="0" w:color="000000"/>
              <w:start w:val="single" w:sz="6" w:space="0" w:color="000000"/>
              <w:end w:val="double" w:sz="6" w:space="0" w:color="000000"/>
            </w:tcBorders>
            <w:tcMar>
              <w:start w:w="71" w:type="dxa"/>
              <w:end w:w="71" w:type="dxa"/>
            </w:tcMar>
            <w:vAlign w:val="bottom"/>
          </w:tcPr>
          <w:p>
            <w:pPr>
              <w:pStyle w:val="Normal"/>
              <w:bidi w:val="0"/>
              <w:ind w:hanging="0" w:start="0" w:end="0"/>
              <w:jc w:val="end"/>
              <w:rPr/>
            </w:pPr>
            <w:r>
              <w:rPr/>
              <w:t>1 000</w:t>
            </w:r>
          </w:p>
        </w:tc>
      </w:tr>
      <w:tr>
        <w:trPr/>
        <w:tc>
          <w:tcPr>
            <w:tcW w:w="645" w:type="dxa"/>
            <w:tcBorders>
              <w:top w:val="double" w:sz="6" w:space="0" w:color="000000"/>
              <w:start w:val="double" w:sz="6" w:space="0" w:color="000000"/>
              <w:end w:val="single" w:sz="6" w:space="0" w:color="000000"/>
            </w:tcBorders>
            <w:tcMar>
              <w:start w:w="71" w:type="dxa"/>
              <w:end w:w="71" w:type="dxa"/>
            </w:tcMar>
          </w:tcPr>
          <w:p>
            <w:pPr>
              <w:pStyle w:val="Normal"/>
              <w:bidi w:val="0"/>
              <w:ind w:hanging="0" w:start="0" w:end="0"/>
              <w:jc w:val="end"/>
              <w:rPr/>
            </w:pPr>
            <w:r>
              <w:rPr>
                <w:b/>
                <w:bCs/>
              </w:rPr>
              <w:t>11.</w:t>
            </w:r>
          </w:p>
        </w:tc>
        <w:tc>
          <w:tcPr>
            <w:tcW w:w="8072" w:type="dxa"/>
            <w:tcBorders>
              <w:top w:val="double" w:sz="6" w:space="0" w:color="000000"/>
              <w:start w:val="single" w:sz="6" w:space="0" w:color="000000"/>
              <w:end w:val="single" w:sz="6" w:space="0" w:color="000000"/>
            </w:tcBorders>
            <w:tcMar>
              <w:start w:w="71" w:type="dxa"/>
              <w:end w:w="71" w:type="dxa"/>
            </w:tcMar>
          </w:tcPr>
          <w:p>
            <w:pPr>
              <w:pStyle w:val="Normal"/>
              <w:bidi w:val="0"/>
              <w:ind w:hanging="0" w:start="0" w:end="0"/>
              <w:rPr>
                <w:rFonts w:ascii="Times New Roman" w:hAnsi="Times New Roman"/>
                <w:b/>
                <w:bCs/>
              </w:rPr>
            </w:pPr>
            <w:r>
              <w:rPr>
                <w:b/>
                <w:bCs/>
              </w:rPr>
              <w:t>Предоставление выписки из реестра</w:t>
            </w:r>
          </w:p>
          <w:p>
            <w:pPr>
              <w:pStyle w:val="Normal"/>
              <w:bidi w:val="0"/>
              <w:ind w:hanging="0" w:start="0" w:end="0"/>
              <w:rPr>
                <w:rFonts w:ascii="Times New Roman" w:hAnsi="Times New Roman"/>
                <w:bCs/>
              </w:rPr>
            </w:pPr>
            <w:r>
              <w:rPr>
                <w:bCs/>
              </w:rPr>
              <w:t>на бумажном носителе</w:t>
            </w:r>
          </w:p>
          <w:p>
            <w:pPr>
              <w:pStyle w:val="Normal"/>
              <w:bidi w:val="0"/>
              <w:ind w:hanging="0" w:start="0" w:end="0"/>
              <w:rPr/>
            </w:pPr>
            <w:r>
              <w:rPr>
                <w:bCs/>
              </w:rPr>
              <w:t xml:space="preserve">в форме электронного документа </w:t>
            </w:r>
            <w:r>
              <w:rPr>
                <w:bCs/>
                <w:sz w:val="16"/>
                <w:szCs w:val="16"/>
              </w:rPr>
              <w:t>(с электронной подписью, согласно условиям о взаимодействии с использованием системы электронного документооборота)</w:t>
            </w:r>
          </w:p>
        </w:tc>
        <w:tc>
          <w:tcPr>
            <w:tcW w:w="1560" w:type="dxa"/>
            <w:tcBorders>
              <w:top w:val="double" w:sz="6" w:space="0" w:color="000000"/>
              <w:start w:val="single" w:sz="6" w:space="0" w:color="000000"/>
              <w:end w:val="double" w:sz="6" w:space="0" w:color="000000"/>
            </w:tcBorders>
            <w:tcMar>
              <w:start w:w="71" w:type="dxa"/>
              <w:end w:w="71" w:type="dxa"/>
            </w:tcMar>
            <w:vAlign w:val="bottom"/>
          </w:tcPr>
          <w:p>
            <w:pPr>
              <w:pStyle w:val="Normal"/>
              <w:bidi w:val="0"/>
              <w:ind w:hanging="0" w:start="0" w:end="0"/>
              <w:jc w:val="end"/>
              <w:rPr>
                <w:rFonts w:ascii="Times New Roman" w:hAnsi="Times New Roman"/>
              </w:rPr>
            </w:pPr>
            <w:r>
              <w:rPr/>
            </w:r>
          </w:p>
          <w:p>
            <w:pPr>
              <w:pStyle w:val="Normal"/>
              <w:bidi w:val="0"/>
              <w:ind w:hanging="0" w:start="0" w:end="0"/>
              <w:jc w:val="end"/>
              <w:rPr>
                <w:rFonts w:ascii="Times New Roman" w:hAnsi="Times New Roman"/>
              </w:rPr>
            </w:pPr>
            <w:r>
              <w:rPr/>
              <w:t>270</w:t>
            </w:r>
          </w:p>
          <w:p>
            <w:pPr>
              <w:pStyle w:val="Normal"/>
              <w:bidi w:val="0"/>
              <w:ind w:hanging="0" w:start="0" w:end="0"/>
              <w:jc w:val="end"/>
              <w:rPr>
                <w:rFonts w:ascii="Times New Roman" w:hAnsi="Times New Roman"/>
              </w:rPr>
            </w:pPr>
            <w:r>
              <w:rPr/>
            </w:r>
          </w:p>
          <w:p>
            <w:pPr>
              <w:pStyle w:val="Normal"/>
              <w:bidi w:val="0"/>
              <w:ind w:hanging="0" w:start="0" w:end="0"/>
              <w:jc w:val="end"/>
              <w:rPr/>
            </w:pPr>
            <w:r>
              <w:rPr/>
              <w:t>135</w:t>
            </w:r>
          </w:p>
        </w:tc>
      </w:tr>
      <w:tr>
        <w:trPr/>
        <w:tc>
          <w:tcPr>
            <w:tcW w:w="645" w:type="dxa"/>
            <w:tcBorders>
              <w:top w:val="double" w:sz="6" w:space="0" w:color="000000"/>
              <w:start w:val="double" w:sz="6" w:space="0" w:color="000000"/>
              <w:end w:val="single" w:sz="6" w:space="0" w:color="000000"/>
            </w:tcBorders>
            <w:tcMar>
              <w:start w:w="71" w:type="dxa"/>
              <w:end w:w="71" w:type="dxa"/>
            </w:tcMar>
          </w:tcPr>
          <w:p>
            <w:pPr>
              <w:pStyle w:val="Normal"/>
              <w:bidi w:val="0"/>
              <w:ind w:hanging="0" w:start="0" w:end="0"/>
              <w:jc w:val="end"/>
              <w:rPr/>
            </w:pPr>
            <w:r>
              <w:rPr>
                <w:b/>
                <w:bCs/>
              </w:rPr>
              <w:t>12.</w:t>
            </w:r>
          </w:p>
        </w:tc>
        <w:tc>
          <w:tcPr>
            <w:tcW w:w="8072" w:type="dxa"/>
            <w:tcBorders>
              <w:top w:val="double" w:sz="6" w:space="0" w:color="000000"/>
              <w:start w:val="single" w:sz="6" w:space="0" w:color="000000"/>
              <w:end w:val="single" w:sz="6" w:space="0" w:color="000000"/>
            </w:tcBorders>
            <w:tcMar>
              <w:start w:w="71" w:type="dxa"/>
              <w:end w:w="71" w:type="dxa"/>
            </w:tcMar>
          </w:tcPr>
          <w:p>
            <w:pPr>
              <w:pStyle w:val="Normal"/>
              <w:bidi w:val="0"/>
              <w:ind w:hanging="0" w:start="0" w:end="0"/>
              <w:rPr/>
            </w:pPr>
            <w:r>
              <w:rPr>
                <w:b/>
                <w:bCs/>
              </w:rPr>
              <w:t>Предоставление выписки из реестра при размещении ценных бумаг</w:t>
            </w:r>
          </w:p>
        </w:tc>
        <w:tc>
          <w:tcPr>
            <w:tcW w:w="1560" w:type="dxa"/>
            <w:tcBorders>
              <w:top w:val="double" w:sz="6" w:space="0" w:color="000000"/>
              <w:start w:val="single" w:sz="6" w:space="0" w:color="000000"/>
              <w:end w:val="double" w:sz="6" w:space="0" w:color="000000"/>
            </w:tcBorders>
            <w:tcMar>
              <w:start w:w="71" w:type="dxa"/>
              <w:end w:w="71" w:type="dxa"/>
            </w:tcMar>
            <w:vAlign w:val="bottom"/>
          </w:tcPr>
          <w:p>
            <w:pPr>
              <w:pStyle w:val="Normal"/>
              <w:bidi w:val="0"/>
              <w:ind w:hanging="0" w:start="0" w:end="0"/>
              <w:jc w:val="end"/>
              <w:rPr/>
            </w:pPr>
            <w:r>
              <w:rPr/>
              <w:t>Бесплатно</w:t>
            </w:r>
          </w:p>
        </w:tc>
      </w:tr>
      <w:tr>
        <w:trPr/>
        <w:tc>
          <w:tcPr>
            <w:tcW w:w="645" w:type="dxa"/>
            <w:tcBorders>
              <w:top w:val="double" w:sz="6" w:space="0" w:color="000000"/>
              <w:start w:val="double" w:sz="6" w:space="0" w:color="000000"/>
              <w:end w:val="single" w:sz="6" w:space="0" w:color="000000"/>
            </w:tcBorders>
            <w:tcMar>
              <w:start w:w="71" w:type="dxa"/>
              <w:end w:w="71" w:type="dxa"/>
            </w:tcMar>
          </w:tcPr>
          <w:p>
            <w:pPr>
              <w:pStyle w:val="Normal"/>
              <w:bidi w:val="0"/>
              <w:ind w:hanging="0" w:start="0" w:end="0"/>
              <w:jc w:val="end"/>
              <w:rPr/>
            </w:pPr>
            <w:r>
              <w:rPr>
                <w:b/>
                <w:bCs/>
              </w:rPr>
              <w:t>13.</w:t>
            </w:r>
          </w:p>
        </w:tc>
        <w:tc>
          <w:tcPr>
            <w:tcW w:w="8072" w:type="dxa"/>
            <w:tcBorders>
              <w:top w:val="double" w:sz="6" w:space="0" w:color="000000"/>
              <w:start w:val="single" w:sz="6" w:space="0" w:color="000000"/>
              <w:end w:val="single" w:sz="6" w:space="0" w:color="000000"/>
            </w:tcBorders>
            <w:tcMar>
              <w:start w:w="71" w:type="dxa"/>
              <w:end w:w="71" w:type="dxa"/>
            </w:tcMar>
          </w:tcPr>
          <w:p>
            <w:pPr>
              <w:pStyle w:val="Normal"/>
              <w:bidi w:val="0"/>
              <w:ind w:hanging="0" w:start="0" w:end="0"/>
              <w:rPr>
                <w:rFonts w:ascii="Times New Roman" w:hAnsi="Times New Roman"/>
                <w:bCs/>
              </w:rPr>
            </w:pPr>
            <w:r>
              <w:rPr>
                <w:b/>
                <w:bCs/>
              </w:rPr>
              <w:t>Предоставление справки о наличии на счете определенного количества ценных бумаг</w:t>
            </w:r>
            <w:r>
              <w:rPr>
                <w:bCs/>
              </w:rPr>
              <w:t xml:space="preserve"> на бумажном носителе</w:t>
            </w:r>
          </w:p>
          <w:p>
            <w:pPr>
              <w:pStyle w:val="Normal"/>
              <w:bidi w:val="0"/>
              <w:ind w:hanging="0" w:start="0" w:end="0"/>
              <w:jc w:val="both"/>
              <w:rPr/>
            </w:pPr>
            <w:r>
              <w:rPr>
                <w:bCs/>
              </w:rPr>
              <w:t xml:space="preserve">в форме электронного документа </w:t>
            </w:r>
            <w:r>
              <w:rPr>
                <w:bCs/>
                <w:sz w:val="16"/>
                <w:szCs w:val="16"/>
              </w:rPr>
              <w:t>(с электронной подписью, согласно условиям о взаимодействии с использованием системы электронного документооборота)</w:t>
            </w:r>
          </w:p>
        </w:tc>
        <w:tc>
          <w:tcPr>
            <w:tcW w:w="1560" w:type="dxa"/>
            <w:tcBorders>
              <w:top w:val="double" w:sz="6" w:space="0" w:color="000000"/>
              <w:start w:val="single" w:sz="6" w:space="0" w:color="000000"/>
              <w:end w:val="double" w:sz="6" w:space="0" w:color="000000"/>
            </w:tcBorders>
            <w:tcMar>
              <w:start w:w="71" w:type="dxa"/>
              <w:end w:w="71" w:type="dxa"/>
            </w:tcMar>
            <w:vAlign w:val="bottom"/>
          </w:tcPr>
          <w:p>
            <w:pPr>
              <w:pStyle w:val="Normal"/>
              <w:bidi w:val="0"/>
              <w:ind w:hanging="0" w:start="0" w:end="0"/>
              <w:jc w:val="end"/>
              <w:rPr>
                <w:rFonts w:ascii="Times New Roman" w:hAnsi="Times New Roman"/>
              </w:rPr>
            </w:pPr>
            <w:r>
              <w:rPr/>
              <w:t>270</w:t>
            </w:r>
          </w:p>
          <w:p>
            <w:pPr>
              <w:pStyle w:val="Normal"/>
              <w:bidi w:val="0"/>
              <w:ind w:hanging="0" w:start="0" w:end="0"/>
              <w:jc w:val="end"/>
              <w:rPr>
                <w:rFonts w:ascii="Times New Roman" w:hAnsi="Times New Roman"/>
              </w:rPr>
            </w:pPr>
            <w:r>
              <w:rPr/>
            </w:r>
          </w:p>
          <w:p>
            <w:pPr>
              <w:pStyle w:val="Normal"/>
              <w:bidi w:val="0"/>
              <w:ind w:hanging="0" w:start="0" w:end="0"/>
              <w:jc w:val="end"/>
              <w:rPr/>
            </w:pPr>
            <w:r>
              <w:rPr/>
              <w:t>135</w:t>
            </w:r>
          </w:p>
        </w:tc>
      </w:tr>
      <w:tr>
        <w:trPr/>
        <w:tc>
          <w:tcPr>
            <w:tcW w:w="645" w:type="dxa"/>
            <w:tcBorders>
              <w:top w:val="double" w:sz="6" w:space="0" w:color="000000"/>
              <w:start w:val="doub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jc w:val="end"/>
              <w:rPr/>
            </w:pPr>
            <w:r>
              <w:rPr>
                <w:b/>
                <w:bCs/>
              </w:rPr>
              <w:t>14.</w:t>
            </w:r>
          </w:p>
        </w:tc>
        <w:tc>
          <w:tcPr>
            <w:tcW w:w="8072" w:type="dxa"/>
            <w:tcBorders>
              <w:top w:val="double" w:sz="6" w:space="0" w:color="000000"/>
              <w:start w:val="single" w:sz="6" w:space="0" w:color="000000"/>
              <w:bottom w:val="double" w:sz="6" w:space="0" w:color="000000"/>
              <w:end w:val="single" w:sz="6" w:space="0" w:color="000000"/>
            </w:tcBorders>
            <w:tcMar>
              <w:start w:w="71" w:type="dxa"/>
              <w:end w:w="71" w:type="dxa"/>
            </w:tcMar>
          </w:tcPr>
          <w:p>
            <w:pPr>
              <w:pStyle w:val="Normal"/>
              <w:tabs>
                <w:tab w:val="clear" w:pos="708"/>
              </w:tabs>
              <w:bidi w:val="0"/>
              <w:ind w:hanging="0" w:start="0" w:end="0"/>
              <w:rPr>
                <w:rFonts w:ascii="Times New Roman" w:hAnsi="Times New Roman"/>
                <w:b/>
                <w:bCs/>
              </w:rPr>
            </w:pPr>
            <w:r>
              <w:rPr>
                <w:b/>
                <w:bCs/>
              </w:rPr>
              <w:t>Предоставление справки (отчета) об операциях, совершенных  по лицевому счету за период ведения реестра регистратором</w:t>
            </w:r>
          </w:p>
          <w:p>
            <w:pPr>
              <w:pStyle w:val="Normal"/>
              <w:tabs>
                <w:tab w:val="clear" w:pos="708"/>
              </w:tabs>
              <w:bidi w:val="0"/>
              <w:ind w:hanging="0" w:start="0" w:end="0"/>
              <w:rPr>
                <w:rFonts w:ascii="Times New Roman" w:hAnsi="Times New Roman"/>
                <w:bCs/>
              </w:rPr>
            </w:pPr>
            <w:r>
              <w:rPr>
                <w:bCs/>
              </w:rPr>
              <w:t>на бумажном носителе</w:t>
            </w:r>
          </w:p>
          <w:p>
            <w:pPr>
              <w:pStyle w:val="Normal"/>
              <w:tabs>
                <w:tab w:val="clear" w:pos="708"/>
              </w:tabs>
              <w:bidi w:val="0"/>
              <w:ind w:hanging="0" w:start="0" w:end="0"/>
              <w:rPr>
                <w:rFonts w:ascii="Times New Roman" w:hAnsi="Times New Roman"/>
                <w:bCs/>
              </w:rPr>
            </w:pPr>
            <w:r>
              <w:rPr>
                <w:bCs/>
              </w:rPr>
            </w:r>
          </w:p>
          <w:p>
            <w:pPr>
              <w:pStyle w:val="Normal"/>
              <w:tabs>
                <w:tab w:val="clear" w:pos="708"/>
              </w:tabs>
              <w:bidi w:val="0"/>
              <w:ind w:hanging="0" w:start="0" w:end="0"/>
              <w:rPr>
                <w:rFonts w:ascii="Times New Roman" w:hAnsi="Times New Roman"/>
                <w:bCs/>
              </w:rPr>
            </w:pPr>
            <w:r>
              <w:rPr>
                <w:bCs/>
              </w:rPr>
            </w:r>
          </w:p>
          <w:p>
            <w:pPr>
              <w:pStyle w:val="Normal"/>
              <w:tabs>
                <w:tab w:val="clear" w:pos="708"/>
              </w:tabs>
              <w:bidi w:val="0"/>
              <w:ind w:hanging="0" w:start="0" w:end="0"/>
              <w:rPr>
                <w:rFonts w:ascii="Times New Roman" w:hAnsi="Times New Roman"/>
                <w:bCs/>
              </w:rPr>
            </w:pPr>
            <w:r>
              <w:rPr>
                <w:bCs/>
              </w:rPr>
            </w:r>
          </w:p>
          <w:p>
            <w:pPr>
              <w:pStyle w:val="Normal"/>
              <w:tabs>
                <w:tab w:val="clear" w:pos="708"/>
              </w:tabs>
              <w:bidi w:val="0"/>
              <w:ind w:hanging="0" w:start="0" w:end="0"/>
              <w:rPr>
                <w:rFonts w:ascii="Times New Roman" w:hAnsi="Times New Roman"/>
                <w:bCs/>
              </w:rPr>
            </w:pPr>
            <w:r>
              <w:rPr>
                <w:bCs/>
              </w:rPr>
            </w:r>
          </w:p>
          <w:p>
            <w:pPr>
              <w:pStyle w:val="Normal"/>
              <w:tabs>
                <w:tab w:val="clear" w:pos="708"/>
              </w:tabs>
              <w:bidi w:val="0"/>
              <w:ind w:hanging="0" w:start="0" w:end="0"/>
              <w:rPr>
                <w:rFonts w:ascii="Times New Roman" w:hAnsi="Times New Roman"/>
                <w:bCs/>
              </w:rPr>
            </w:pPr>
            <w:r>
              <w:rPr>
                <w:bCs/>
              </w:rPr>
            </w:r>
          </w:p>
          <w:p>
            <w:pPr>
              <w:pStyle w:val="Normal"/>
              <w:tabs>
                <w:tab w:val="clear" w:pos="708"/>
              </w:tabs>
              <w:bidi w:val="0"/>
              <w:ind w:hanging="0" w:start="0" w:end="0"/>
              <w:jc w:val="both"/>
              <w:rPr>
                <w:rFonts w:ascii="Times New Roman" w:hAnsi="Times New Roman"/>
                <w:bCs/>
              </w:rPr>
            </w:pPr>
            <w:r>
              <w:rPr>
                <w:bCs/>
              </w:rPr>
              <w:t xml:space="preserve">в форме электронного документа </w:t>
            </w:r>
            <w:r>
              <w:rPr>
                <w:bCs/>
                <w:sz w:val="16"/>
                <w:szCs w:val="16"/>
              </w:rPr>
              <w:t>(с электронной подписью, согласно условиям о взаимодействии с использованием системы электронного документооборота)</w:t>
            </w:r>
          </w:p>
          <w:p>
            <w:pPr>
              <w:pStyle w:val="Normal"/>
              <w:tabs>
                <w:tab w:val="clear" w:pos="708"/>
              </w:tabs>
              <w:bidi w:val="0"/>
              <w:ind w:hanging="0" w:start="0" w:end="0"/>
              <w:rPr/>
            </w:pPr>
            <w:r>
              <w:rPr>
                <w:bCs/>
              </w:rPr>
              <w:t xml:space="preserve">                                                       </w:t>
            </w:r>
          </w:p>
        </w:tc>
        <w:tc>
          <w:tcPr>
            <w:tcW w:w="1560" w:type="dxa"/>
            <w:tcBorders>
              <w:top w:val="double" w:sz="6" w:space="0" w:color="000000"/>
              <w:start w:val="single" w:sz="6" w:space="0" w:color="000000"/>
              <w:bottom w:val="double" w:sz="6" w:space="0" w:color="000000"/>
              <w:end w:val="double" w:sz="6" w:space="0" w:color="000000"/>
            </w:tcBorders>
            <w:tcMar>
              <w:start w:w="71" w:type="dxa"/>
              <w:end w:w="71" w:type="dxa"/>
            </w:tcMar>
            <w:vAlign w:val="bottom"/>
          </w:tcPr>
          <w:p>
            <w:pPr>
              <w:pStyle w:val="Normal"/>
              <w:tabs>
                <w:tab w:val="clear" w:pos="708"/>
              </w:tabs>
              <w:bidi w:val="0"/>
              <w:ind w:hanging="0" w:start="0" w:end="0"/>
              <w:jc w:val="end"/>
              <w:rPr>
                <w:rFonts w:ascii="Times New Roman" w:hAnsi="Times New Roman"/>
                <w:sz w:val="14"/>
                <w:szCs w:val="14"/>
              </w:rPr>
            </w:pPr>
            <w:r>
              <w:rPr>
                <w:sz w:val="14"/>
                <w:szCs w:val="14"/>
              </w:rPr>
              <w:t xml:space="preserve">270 рублей за справку (отчет), содержащую не более четырех записей об операциях, совершенных по лицевому счету, плюс 65 рублей за каждую последующую такую запись, но не более   2750 рублей за справку (отчет) </w:t>
            </w:r>
          </w:p>
          <w:p>
            <w:pPr>
              <w:pStyle w:val="Normal"/>
              <w:tabs>
                <w:tab w:val="clear" w:pos="708"/>
              </w:tabs>
              <w:bidi w:val="0"/>
              <w:ind w:hanging="0" w:start="0" w:end="0"/>
              <w:jc w:val="end"/>
              <w:rPr>
                <w:rFonts w:ascii="Times New Roman" w:hAnsi="Times New Roman"/>
                <w:sz w:val="14"/>
                <w:szCs w:val="14"/>
              </w:rPr>
            </w:pPr>
            <w:r>
              <w:rPr>
                <w:sz w:val="14"/>
                <w:szCs w:val="14"/>
              </w:rPr>
            </w:r>
          </w:p>
          <w:p>
            <w:pPr>
              <w:pStyle w:val="Normal"/>
              <w:tabs>
                <w:tab w:val="clear" w:pos="708"/>
              </w:tabs>
              <w:bidi w:val="0"/>
              <w:ind w:hanging="0" w:start="0" w:end="0"/>
              <w:jc w:val="end"/>
              <w:rPr/>
            </w:pPr>
            <w:r>
              <w:rPr>
                <w:sz w:val="14"/>
                <w:szCs w:val="14"/>
              </w:rPr>
              <w:t>135 рублей за справку (отчет), содержащую не более четырех записей об операциях, совершенных по лицевому счету, плюс 30 рублей за каждую последующую запись, но не более 1 375 рублей за справку (отчет)</w:t>
            </w:r>
          </w:p>
        </w:tc>
      </w:tr>
      <w:tr>
        <w:trPr/>
        <w:tc>
          <w:tcPr>
            <w:tcW w:w="645" w:type="dxa"/>
            <w:tcBorders>
              <w:top w:val="double" w:sz="6" w:space="0" w:color="000000"/>
              <w:start w:val="double" w:sz="6" w:space="0" w:color="000000"/>
              <w:bottom w:val="double" w:sz="6" w:space="0" w:color="000000"/>
              <w:end w:val="single" w:sz="6" w:space="0" w:color="000000"/>
            </w:tcBorders>
            <w:tcMar>
              <w:start w:w="71" w:type="dxa"/>
              <w:end w:w="71" w:type="dxa"/>
            </w:tcMar>
          </w:tcPr>
          <w:p>
            <w:pPr>
              <w:pStyle w:val="Normal"/>
              <w:bidi w:val="0"/>
              <w:ind w:hanging="0" w:start="0" w:end="0"/>
              <w:jc w:val="end"/>
              <w:rPr/>
            </w:pPr>
            <w:r>
              <w:rPr>
                <w:b/>
                <w:bCs/>
              </w:rPr>
              <w:t>15.</w:t>
            </w:r>
          </w:p>
        </w:tc>
        <w:tc>
          <w:tcPr>
            <w:tcW w:w="8072" w:type="dxa"/>
            <w:tcBorders>
              <w:top w:val="double" w:sz="6" w:space="0" w:color="000000"/>
              <w:start w:val="single" w:sz="6" w:space="0" w:color="000000"/>
              <w:bottom w:val="double" w:sz="6" w:space="0" w:color="000000"/>
              <w:end w:val="single" w:sz="6" w:space="0" w:color="000000"/>
            </w:tcBorders>
            <w:tcMar>
              <w:start w:w="71" w:type="dxa"/>
              <w:end w:w="71" w:type="dxa"/>
            </w:tcMar>
          </w:tcPr>
          <w:p>
            <w:pPr>
              <w:pStyle w:val="Normal"/>
              <w:bidi w:val="0"/>
              <w:ind w:hanging="0" w:start="0" w:end="0"/>
              <w:jc w:val="both"/>
              <w:rPr>
                <w:rFonts w:ascii="Times New Roman" w:hAnsi="Times New Roman"/>
                <w:b/>
                <w:bCs/>
              </w:rPr>
            </w:pPr>
            <w:r>
              <w:rPr>
                <w:b/>
                <w:bCs/>
              </w:rPr>
              <w:t>Предоставление уведомления (отчета) о проведенной операции по распоряжению зарегистрированного лица</w:t>
            </w:r>
          </w:p>
          <w:p>
            <w:pPr>
              <w:pStyle w:val="Normal"/>
              <w:bidi w:val="0"/>
              <w:ind w:hanging="0" w:start="0" w:end="0"/>
              <w:rPr>
                <w:rFonts w:ascii="Times New Roman" w:hAnsi="Times New Roman"/>
                <w:bCs/>
              </w:rPr>
            </w:pPr>
            <w:r>
              <w:rPr>
                <w:bCs/>
              </w:rPr>
              <w:t>на бумажном носителе</w:t>
            </w:r>
          </w:p>
          <w:p>
            <w:pPr>
              <w:pStyle w:val="Normal"/>
              <w:bidi w:val="0"/>
              <w:ind w:hanging="0" w:start="0" w:end="0"/>
              <w:jc w:val="both"/>
              <w:rPr/>
            </w:pPr>
            <w:r>
              <w:rPr>
                <w:bCs/>
              </w:rPr>
              <w:t xml:space="preserve">в форме электронного документа </w:t>
            </w:r>
            <w:r>
              <w:rPr>
                <w:bCs/>
                <w:sz w:val="16"/>
                <w:szCs w:val="16"/>
              </w:rPr>
              <w:t>(с электронной подписью, согласно условиям о взаимодействии с использованием системы электронного документооборота)</w:t>
            </w:r>
          </w:p>
        </w:tc>
        <w:tc>
          <w:tcPr>
            <w:tcW w:w="1560" w:type="dxa"/>
            <w:tcBorders>
              <w:top w:val="double" w:sz="6" w:space="0" w:color="000000"/>
              <w:start w:val="single" w:sz="6" w:space="0" w:color="000000"/>
              <w:bottom w:val="double" w:sz="6" w:space="0" w:color="000000"/>
              <w:end w:val="double" w:sz="6" w:space="0" w:color="000000"/>
            </w:tcBorders>
            <w:tcMar>
              <w:start w:w="71" w:type="dxa"/>
              <w:end w:w="71" w:type="dxa"/>
            </w:tcMar>
            <w:vAlign w:val="bottom"/>
          </w:tcPr>
          <w:p>
            <w:pPr>
              <w:pStyle w:val="Normal"/>
              <w:bidi w:val="0"/>
              <w:ind w:hanging="0" w:start="0" w:end="0"/>
              <w:jc w:val="end"/>
              <w:rPr>
                <w:rFonts w:ascii="Times New Roman" w:hAnsi="Times New Roman"/>
              </w:rPr>
            </w:pPr>
            <w:r>
              <w:rPr/>
              <w:t>27</w:t>
            </w:r>
            <w:r>
              <w:rPr>
                <w:lang w:val="en-US"/>
              </w:rPr>
              <w:t>0</w:t>
            </w:r>
          </w:p>
          <w:p>
            <w:pPr>
              <w:pStyle w:val="Normal"/>
              <w:bidi w:val="0"/>
              <w:ind w:hanging="0" w:start="0" w:end="0"/>
              <w:jc w:val="end"/>
              <w:rPr>
                <w:rFonts w:ascii="Times New Roman" w:hAnsi="Times New Roman"/>
              </w:rPr>
            </w:pPr>
            <w:r>
              <w:rPr/>
            </w:r>
          </w:p>
          <w:p>
            <w:pPr>
              <w:pStyle w:val="Normal"/>
              <w:bidi w:val="0"/>
              <w:ind w:hanging="0" w:start="0" w:end="0"/>
              <w:jc w:val="end"/>
              <w:rPr/>
            </w:pPr>
            <w:r>
              <w:rPr/>
              <w:t>135</w:t>
            </w:r>
          </w:p>
        </w:tc>
      </w:tr>
      <w:tr>
        <w:trPr/>
        <w:tc>
          <w:tcPr>
            <w:tcW w:w="645" w:type="dxa"/>
            <w:tcBorders>
              <w:top w:val="double" w:sz="6" w:space="0" w:color="000000"/>
              <w:start w:val="double" w:sz="6" w:space="0" w:color="000000"/>
              <w:bottom w:val="double" w:sz="6" w:space="0" w:color="000000"/>
              <w:end w:val="single" w:sz="6" w:space="0" w:color="000000"/>
            </w:tcBorders>
            <w:tcMar>
              <w:start w:w="71" w:type="dxa"/>
              <w:end w:w="71" w:type="dxa"/>
            </w:tcMar>
          </w:tcPr>
          <w:p>
            <w:pPr>
              <w:pStyle w:val="Normal"/>
              <w:bidi w:val="0"/>
              <w:ind w:hanging="0" w:start="0" w:end="0"/>
              <w:jc w:val="end"/>
              <w:rPr/>
            </w:pPr>
            <w:r>
              <w:rPr>
                <w:b/>
                <w:bCs/>
              </w:rPr>
              <w:t>16.</w:t>
            </w:r>
          </w:p>
        </w:tc>
        <w:tc>
          <w:tcPr>
            <w:tcW w:w="8072" w:type="dxa"/>
            <w:tcBorders>
              <w:top w:val="double" w:sz="6" w:space="0" w:color="000000"/>
              <w:start w:val="single" w:sz="6" w:space="0" w:color="000000"/>
              <w:bottom w:val="double" w:sz="6" w:space="0" w:color="000000"/>
              <w:end w:val="single" w:sz="6" w:space="0" w:color="000000"/>
            </w:tcBorders>
            <w:tcMar>
              <w:start w:w="71" w:type="dxa"/>
              <w:end w:w="71" w:type="dxa"/>
            </w:tcMar>
          </w:tcPr>
          <w:p>
            <w:pPr>
              <w:pStyle w:val="Normal"/>
              <w:bidi w:val="0"/>
              <w:ind w:hanging="0" w:start="0" w:end="0"/>
              <w:jc w:val="both"/>
              <w:rPr/>
            </w:pPr>
            <w:r>
              <w:rPr>
                <w:b/>
                <w:bCs/>
              </w:rPr>
              <w:t xml:space="preserve">Предоставление справки по лицевому счету номинального держателя в целях проведения сверки в соответствии с требованиями статьи 8.5. ФЗ от 22.04.1996 г. № 39-ФЗ «О рынке ценных бумаг»    </w:t>
            </w:r>
          </w:p>
        </w:tc>
        <w:tc>
          <w:tcPr>
            <w:tcW w:w="1560" w:type="dxa"/>
            <w:tcBorders>
              <w:top w:val="double" w:sz="6" w:space="0" w:color="000000"/>
              <w:start w:val="single" w:sz="6" w:space="0" w:color="000000"/>
              <w:bottom w:val="double" w:sz="6" w:space="0" w:color="000000"/>
              <w:end w:val="double" w:sz="6" w:space="0" w:color="000000"/>
            </w:tcBorders>
            <w:tcMar>
              <w:start w:w="71" w:type="dxa"/>
              <w:end w:w="71" w:type="dxa"/>
            </w:tcMar>
            <w:vAlign w:val="bottom"/>
          </w:tcPr>
          <w:p>
            <w:pPr>
              <w:pStyle w:val="Normal"/>
              <w:bidi w:val="0"/>
              <w:ind w:hanging="0" w:start="0" w:end="0"/>
              <w:jc w:val="end"/>
              <w:rPr/>
            </w:pPr>
            <w:r>
              <w:rPr/>
              <w:t>Бесплатно</w:t>
            </w:r>
          </w:p>
        </w:tc>
      </w:tr>
      <w:tr>
        <w:trPr/>
        <w:tc>
          <w:tcPr>
            <w:tcW w:w="645" w:type="dxa"/>
            <w:tcBorders>
              <w:top w:val="double" w:sz="6" w:space="0" w:color="000000"/>
              <w:start w:val="double" w:sz="6" w:space="0" w:color="000000"/>
              <w:bottom w:val="double" w:sz="6" w:space="0" w:color="000000"/>
              <w:end w:val="single" w:sz="6" w:space="0" w:color="000000"/>
            </w:tcBorders>
            <w:tcMar>
              <w:start w:w="71" w:type="dxa"/>
              <w:end w:w="71" w:type="dxa"/>
            </w:tcMar>
          </w:tcPr>
          <w:p>
            <w:pPr>
              <w:pStyle w:val="Normal"/>
              <w:bidi w:val="0"/>
              <w:ind w:hanging="0" w:start="0" w:end="0"/>
              <w:jc w:val="end"/>
              <w:rPr/>
            </w:pPr>
            <w:r>
              <w:rPr>
                <w:b/>
                <w:bCs/>
              </w:rPr>
              <w:t>17.</w:t>
            </w:r>
          </w:p>
        </w:tc>
        <w:tc>
          <w:tcPr>
            <w:tcW w:w="8072" w:type="dxa"/>
            <w:tcBorders>
              <w:top w:val="double" w:sz="6" w:space="0" w:color="000000"/>
              <w:start w:val="single" w:sz="6" w:space="0" w:color="000000"/>
              <w:bottom w:val="double" w:sz="6" w:space="0" w:color="000000"/>
              <w:end w:val="single" w:sz="6" w:space="0" w:color="000000"/>
            </w:tcBorders>
            <w:tcMar>
              <w:start w:w="71" w:type="dxa"/>
              <w:end w:w="71" w:type="dxa"/>
            </w:tcMar>
          </w:tcPr>
          <w:p>
            <w:pPr>
              <w:pStyle w:val="Normal"/>
              <w:bidi w:val="0"/>
              <w:ind w:hanging="0" w:start="0" w:end="0"/>
              <w:jc w:val="both"/>
              <w:rPr/>
            </w:pPr>
            <w:r>
              <w:rPr>
                <w:b/>
                <w:bCs/>
              </w:rPr>
              <w:t xml:space="preserve">Предоставление зарегистрированному лицу, на лицевом счете которого учитывается более одного процента голосующих акций эмитента, информации из реестра об имени (наименовании) зарегистрированных лиц и о количестве акций каждой категории (каждого типа), учитываемых на их лицевых счетах </w:t>
            </w:r>
          </w:p>
        </w:tc>
        <w:tc>
          <w:tcPr>
            <w:tcW w:w="1560" w:type="dxa"/>
            <w:tcBorders>
              <w:top w:val="double" w:sz="6" w:space="0" w:color="000000"/>
              <w:start w:val="single" w:sz="6" w:space="0" w:color="000000"/>
              <w:bottom w:val="double" w:sz="6" w:space="0" w:color="000000"/>
              <w:end w:val="double" w:sz="6" w:space="0" w:color="000000"/>
            </w:tcBorders>
            <w:tcMar>
              <w:start w:w="71" w:type="dxa"/>
              <w:end w:w="71" w:type="dxa"/>
            </w:tcMar>
            <w:vAlign w:val="bottom"/>
          </w:tcPr>
          <w:p>
            <w:pPr>
              <w:pStyle w:val="Normal"/>
              <w:bidi w:val="0"/>
              <w:ind w:hanging="0" w:start="0" w:end="0"/>
              <w:jc w:val="end"/>
              <w:rPr/>
            </w:pPr>
            <w:r>
              <w:rPr>
                <w:sz w:val="14"/>
                <w:szCs w:val="14"/>
              </w:rPr>
              <w:t>8 000 рублей за информацию, содержащую не более 2 000 записей о зарегистрированных лицах и учитываемых на их лицевых счетах акциях, плюс 1 рубль за каждую последующую запись</w:t>
            </w:r>
          </w:p>
        </w:tc>
      </w:tr>
      <w:tr>
        <w:trPr/>
        <w:tc>
          <w:tcPr>
            <w:tcW w:w="645" w:type="dxa"/>
            <w:tcBorders>
              <w:top w:val="double" w:sz="6" w:space="0" w:color="000000"/>
              <w:start w:val="double" w:sz="6" w:space="0" w:color="000000"/>
              <w:bottom w:val="double" w:sz="6" w:space="0" w:color="000000"/>
              <w:end w:val="single" w:sz="6" w:space="0" w:color="000000"/>
            </w:tcBorders>
            <w:tcMar>
              <w:start w:w="71" w:type="dxa"/>
              <w:end w:w="71" w:type="dxa"/>
            </w:tcMar>
          </w:tcPr>
          <w:p>
            <w:pPr>
              <w:pStyle w:val="Normal"/>
              <w:bidi w:val="0"/>
              <w:ind w:hanging="0" w:start="0" w:end="0"/>
              <w:jc w:val="end"/>
              <w:rPr>
                <w:lang w:val="en-US"/>
              </w:rPr>
            </w:pPr>
            <w:r>
              <w:rPr>
                <w:b/>
                <w:bCs/>
                <w:lang w:val="en-US"/>
              </w:rPr>
              <w:t>1</w:t>
            </w:r>
            <w:r>
              <w:rPr>
                <w:b/>
                <w:bCs/>
              </w:rPr>
              <w:t>8.</w:t>
            </w:r>
          </w:p>
        </w:tc>
        <w:tc>
          <w:tcPr>
            <w:tcW w:w="8072" w:type="dxa"/>
            <w:tcBorders>
              <w:top w:val="double" w:sz="6" w:space="0" w:color="000000"/>
              <w:start w:val="single" w:sz="6" w:space="0" w:color="000000"/>
              <w:bottom w:val="double" w:sz="6" w:space="0" w:color="000000"/>
              <w:end w:val="single" w:sz="6" w:space="0" w:color="000000"/>
            </w:tcBorders>
            <w:tcMar>
              <w:start w:w="71" w:type="dxa"/>
              <w:end w:w="71" w:type="dxa"/>
            </w:tcMar>
          </w:tcPr>
          <w:p>
            <w:pPr>
              <w:pStyle w:val="Normal"/>
              <w:bidi w:val="0"/>
              <w:ind w:hanging="0" w:start="0" w:end="0"/>
              <w:jc w:val="both"/>
              <w:rPr>
                <w:rFonts w:ascii="Times New Roman" w:hAnsi="Times New Roman"/>
                <w:b/>
                <w:bCs/>
              </w:rPr>
            </w:pPr>
            <w:r>
              <w:rPr>
                <w:b/>
                <w:bCs/>
              </w:rPr>
              <w:t xml:space="preserve">Закрытие лицевого счета </w:t>
            </w:r>
          </w:p>
          <w:p>
            <w:pPr>
              <w:pStyle w:val="Normal"/>
              <w:bidi w:val="0"/>
              <w:ind w:hanging="0" w:start="0" w:end="0"/>
              <w:rPr>
                <w:rFonts w:ascii="Times New Roman" w:hAnsi="Times New Roman"/>
                <w:bCs/>
              </w:rPr>
            </w:pPr>
            <w:r>
              <w:rPr>
                <w:bCs/>
              </w:rPr>
              <w:t>Физическому лицу</w:t>
            </w:r>
          </w:p>
          <w:p>
            <w:pPr>
              <w:pStyle w:val="Normal"/>
              <w:bidi w:val="0"/>
              <w:ind w:hanging="0" w:start="0" w:end="0"/>
              <w:jc w:val="both"/>
              <w:rPr/>
            </w:pPr>
            <w:r>
              <w:rPr>
                <w:bCs/>
              </w:rPr>
              <w:t>Юридическому лицу</w:t>
            </w:r>
          </w:p>
        </w:tc>
        <w:tc>
          <w:tcPr>
            <w:tcW w:w="1560" w:type="dxa"/>
            <w:tcBorders>
              <w:top w:val="double" w:sz="6" w:space="0" w:color="000000"/>
              <w:start w:val="single" w:sz="6" w:space="0" w:color="000000"/>
              <w:bottom w:val="double" w:sz="6" w:space="0" w:color="000000"/>
              <w:end w:val="double" w:sz="6" w:space="0" w:color="000000"/>
            </w:tcBorders>
            <w:tcMar>
              <w:start w:w="71" w:type="dxa"/>
              <w:end w:w="71" w:type="dxa"/>
            </w:tcMar>
            <w:vAlign w:val="bottom"/>
          </w:tcPr>
          <w:p>
            <w:pPr>
              <w:pStyle w:val="Normal"/>
              <w:bidi w:val="0"/>
              <w:ind w:hanging="0" w:start="0" w:end="0"/>
              <w:jc w:val="end"/>
              <w:rPr>
                <w:rFonts w:ascii="Times New Roman" w:hAnsi="Times New Roman"/>
              </w:rPr>
            </w:pPr>
            <w:r>
              <w:rPr/>
              <w:t>65</w:t>
            </w:r>
          </w:p>
          <w:p>
            <w:pPr>
              <w:pStyle w:val="Normal"/>
              <w:bidi w:val="0"/>
              <w:ind w:hanging="0" w:start="0" w:end="0"/>
              <w:jc w:val="end"/>
              <w:rPr/>
            </w:pPr>
            <w:r>
              <w:rPr/>
              <w:t>325</w:t>
            </w:r>
          </w:p>
        </w:tc>
      </w:tr>
      <w:tr>
        <w:trPr/>
        <w:tc>
          <w:tcPr>
            <w:tcW w:w="645" w:type="dxa"/>
            <w:tcBorders>
              <w:top w:val="double" w:sz="6" w:space="0" w:color="000000"/>
              <w:start w:val="double" w:sz="6" w:space="0" w:color="000000"/>
              <w:bottom w:val="double" w:sz="6" w:space="0" w:color="000000"/>
              <w:end w:val="single" w:sz="6" w:space="0" w:color="000000"/>
            </w:tcBorders>
            <w:tcMar>
              <w:start w:w="71" w:type="dxa"/>
              <w:end w:w="71" w:type="dxa"/>
            </w:tcMar>
          </w:tcPr>
          <w:p>
            <w:pPr>
              <w:pStyle w:val="Normal"/>
              <w:bidi w:val="0"/>
              <w:ind w:hanging="0" w:start="0" w:end="0"/>
              <w:jc w:val="end"/>
              <w:rPr/>
            </w:pPr>
            <w:r>
              <w:rPr>
                <w:b/>
                <w:bCs/>
              </w:rPr>
              <w:t xml:space="preserve">19. </w:t>
            </w:r>
          </w:p>
        </w:tc>
        <w:tc>
          <w:tcPr>
            <w:tcW w:w="8072" w:type="dxa"/>
            <w:tcBorders>
              <w:top w:val="double" w:sz="6" w:space="0" w:color="000000"/>
              <w:start w:val="single" w:sz="6" w:space="0" w:color="000000"/>
              <w:bottom w:val="double" w:sz="6" w:space="0" w:color="000000"/>
              <w:end w:val="single" w:sz="6" w:space="0" w:color="000000"/>
            </w:tcBorders>
            <w:tcMar>
              <w:start w:w="71" w:type="dxa"/>
              <w:end w:w="71" w:type="dxa"/>
            </w:tcMar>
          </w:tcPr>
          <w:p>
            <w:pPr>
              <w:pStyle w:val="Normal"/>
              <w:bidi w:val="0"/>
              <w:ind w:hanging="0" w:start="0" w:end="0"/>
              <w:jc w:val="both"/>
              <w:rPr/>
            </w:pPr>
            <w:r>
              <w:rPr>
                <w:b/>
                <w:bCs/>
              </w:rPr>
              <w:t xml:space="preserve">Внесение записей в реестр об изменении статуса лицевого счета номинального держателя центрального депозитария </w:t>
            </w:r>
          </w:p>
        </w:tc>
        <w:tc>
          <w:tcPr>
            <w:tcW w:w="1560" w:type="dxa"/>
            <w:tcBorders>
              <w:top w:val="double" w:sz="6" w:space="0" w:color="000000"/>
              <w:start w:val="single" w:sz="6" w:space="0" w:color="000000"/>
              <w:bottom w:val="double" w:sz="6" w:space="0" w:color="000000"/>
              <w:end w:val="double" w:sz="6" w:space="0" w:color="000000"/>
            </w:tcBorders>
            <w:tcMar>
              <w:start w:w="71" w:type="dxa"/>
              <w:end w:w="71" w:type="dxa"/>
            </w:tcMar>
            <w:vAlign w:val="bottom"/>
          </w:tcPr>
          <w:p>
            <w:pPr>
              <w:pStyle w:val="Normal"/>
              <w:bidi w:val="0"/>
              <w:ind w:hanging="0" w:start="0" w:end="0"/>
              <w:jc w:val="end"/>
              <w:rPr/>
            </w:pPr>
            <w:r>
              <w:rPr/>
              <w:t>500</w:t>
            </w:r>
          </w:p>
        </w:tc>
      </w:tr>
      <w:tr>
        <w:trPr/>
        <w:tc>
          <w:tcPr>
            <w:tcW w:w="645" w:type="dxa"/>
            <w:tcBorders>
              <w:top w:val="double" w:sz="6" w:space="0" w:color="000000"/>
              <w:start w:val="double" w:sz="6" w:space="0" w:color="000000"/>
              <w:bottom w:val="double" w:sz="6" w:space="0" w:color="000000"/>
              <w:end w:val="single" w:sz="6" w:space="0" w:color="000000"/>
            </w:tcBorders>
            <w:tcMar>
              <w:start w:w="71" w:type="dxa"/>
              <w:end w:w="71" w:type="dxa"/>
            </w:tcMar>
          </w:tcPr>
          <w:p>
            <w:pPr>
              <w:pStyle w:val="Normal"/>
              <w:bidi w:val="0"/>
              <w:ind w:hanging="0" w:start="0" w:end="0"/>
              <w:jc w:val="end"/>
              <w:rPr/>
            </w:pPr>
            <w:r>
              <w:rPr>
                <w:b/>
                <w:bCs/>
              </w:rPr>
              <w:t>20.</w:t>
            </w:r>
          </w:p>
        </w:tc>
        <w:tc>
          <w:tcPr>
            <w:tcW w:w="8072" w:type="dxa"/>
            <w:tcBorders>
              <w:top w:val="double" w:sz="6" w:space="0" w:color="000000"/>
              <w:start w:val="single" w:sz="6" w:space="0" w:color="000000"/>
              <w:bottom w:val="double" w:sz="6" w:space="0" w:color="000000"/>
              <w:end w:val="single" w:sz="6" w:space="0" w:color="000000"/>
            </w:tcBorders>
            <w:tcMar>
              <w:start w:w="71" w:type="dxa"/>
              <w:end w:w="71" w:type="dxa"/>
            </w:tcMar>
          </w:tcPr>
          <w:p>
            <w:pPr>
              <w:pStyle w:val="Default"/>
              <w:bidi w:val="0"/>
              <w:ind w:hanging="0" w:start="0" w:end="0"/>
              <w:jc w:val="both"/>
              <w:rPr/>
            </w:pPr>
            <w:r>
              <w:rPr>
                <w:b/>
                <w:color w:val="000000"/>
                <w:sz w:val="20"/>
                <w:szCs w:val="20"/>
              </w:rPr>
              <w:t xml:space="preserve">Предоставление сведений о наличии счетов и иной информации, необходимой для предоставления гражданами сведений о доходах, расходах, об имуществе и обязательствах имущественного характера. </w:t>
            </w:r>
          </w:p>
        </w:tc>
        <w:tc>
          <w:tcPr>
            <w:tcW w:w="1560" w:type="dxa"/>
            <w:tcBorders>
              <w:top w:val="double" w:sz="6" w:space="0" w:color="000000"/>
              <w:start w:val="single" w:sz="6" w:space="0" w:color="000000"/>
              <w:bottom w:val="double" w:sz="6" w:space="0" w:color="000000"/>
              <w:end w:val="double" w:sz="6" w:space="0" w:color="000000"/>
            </w:tcBorders>
            <w:tcMar>
              <w:start w:w="71" w:type="dxa"/>
              <w:end w:w="71" w:type="dxa"/>
            </w:tcMar>
            <w:vAlign w:val="bottom"/>
          </w:tcPr>
          <w:p>
            <w:pPr>
              <w:pStyle w:val="Normal"/>
              <w:bidi w:val="0"/>
              <w:ind w:hanging="0" w:start="0" w:end="0"/>
              <w:jc w:val="end"/>
              <w:rPr/>
            </w:pPr>
            <w:r>
              <w:rPr>
                <w:color w:val="000000"/>
                <w:sz w:val="20"/>
                <w:szCs w:val="20"/>
              </w:rPr>
              <w:t>500</w:t>
            </w:r>
          </w:p>
        </w:tc>
      </w:tr>
    </w:tbl>
    <w:p>
      <w:pPr>
        <w:pStyle w:val="Normal"/>
        <w:bidi w:val="0"/>
        <w:ind w:hanging="0" w:start="0" w:end="0"/>
        <w:rPr>
          <w:rFonts w:ascii="Times New Roman" w:hAnsi="Times New Roman"/>
          <w:b/>
          <w:bCs/>
        </w:rPr>
      </w:pPr>
      <w:r>
        <w:rPr>
          <w:b/>
          <w:bCs/>
        </w:rPr>
      </w:r>
    </w:p>
    <w:p>
      <w:pPr>
        <w:pStyle w:val="Normal"/>
        <w:bidi w:val="0"/>
        <w:ind w:hanging="0" w:start="0" w:end="0"/>
        <w:jc w:val="both"/>
        <w:rPr>
          <w:rFonts w:ascii="Times New Roman" w:hAnsi="Times New Roman"/>
          <w:bCs/>
        </w:rPr>
      </w:pPr>
      <w:r>
        <w:rPr>
          <w:bCs/>
        </w:rPr>
        <w:t xml:space="preserve">Прочие услуги, оказываемые  регистратором в соответствии с лицензией, предоставляются за плату, установленную по соглашению сторон.  </w:t>
      </w:r>
    </w:p>
    <w:p>
      <w:pPr>
        <w:pStyle w:val="Normal"/>
        <w:bidi w:val="0"/>
        <w:ind w:hanging="0" w:start="0" w:end="0"/>
        <w:jc w:val="both"/>
        <w:rPr>
          <w:rFonts w:ascii="Times New Roman" w:hAnsi="Times New Roman"/>
          <w:bCs/>
        </w:rPr>
      </w:pPr>
      <w:r>
        <w:rPr>
          <w:bCs/>
        </w:rPr>
        <w:t>Услуга оказывается регистратором после оплаты заинтересованным лицом  стоимости услуги в соответствии с настоящим Прейскурантом.</w:t>
      </w:r>
    </w:p>
    <w:p>
      <w:pPr>
        <w:pStyle w:val="Normal"/>
        <w:bidi w:val="0"/>
        <w:ind w:hanging="0" w:start="0" w:end="0"/>
        <w:jc w:val="both"/>
        <w:rPr>
          <w:rFonts w:ascii="Times New Roman" w:hAnsi="Times New Roman"/>
          <w:bCs/>
        </w:rPr>
      </w:pPr>
      <w:r>
        <w:rPr>
          <w:bCs/>
        </w:rPr>
      </w:r>
    </w:p>
    <w:p>
      <w:pPr>
        <w:pStyle w:val="Normal"/>
        <w:bidi w:val="0"/>
        <w:ind w:hanging="0" w:start="0" w:end="0"/>
        <w:jc w:val="both"/>
        <w:rPr>
          <w:rFonts w:ascii="Times New Roman" w:hAnsi="Times New Roman"/>
          <w:bCs/>
          <w:sz w:val="16"/>
          <w:szCs w:val="16"/>
        </w:rPr>
      </w:pPr>
      <w:r>
        <w:rPr>
          <w:bCs/>
          <w:sz w:val="16"/>
          <w:szCs w:val="16"/>
        </w:rPr>
        <w:t xml:space="preserve">Стоимость услуг, предоставляемых зарегистрированным лицам в реестрах ПАО «Инвестиционная компания «Ермак», ПАО «Инвестиционный фонд «Защита» и ПАО «Инвестиционный фонд «Детство-1» приведена в Прейскуранте № 2.  </w:t>
      </w:r>
    </w:p>
    <w:p>
      <w:pPr>
        <w:pStyle w:val="Normal"/>
        <w:bidi w:val="0"/>
        <w:ind w:hanging="0" w:start="0" w:end="0"/>
        <w:jc w:val="both"/>
        <w:rPr>
          <w:rFonts w:ascii="Times New Roman" w:hAnsi="Times New Roman"/>
          <w:bCs/>
          <w:sz w:val="16"/>
          <w:szCs w:val="16"/>
        </w:rPr>
      </w:pPr>
      <w:r>
        <w:rPr>
          <w:bCs/>
          <w:sz w:val="16"/>
          <w:szCs w:val="16"/>
        </w:rPr>
        <w:t xml:space="preserve">Стоимость услуг, предоставляемых зарегистрированным лицам в реестре  ПАО «ПКТБхиммаш»  приведена в Прейскуранте  № 3.  </w:t>
      </w:r>
    </w:p>
    <w:p>
      <w:pPr>
        <w:pStyle w:val="Normal"/>
        <w:bidi w:val="0"/>
        <w:ind w:hanging="0" w:start="0" w:end="0"/>
        <w:jc w:val="both"/>
        <w:rPr>
          <w:rFonts w:ascii="Times New Roman" w:hAnsi="Times New Roman"/>
          <w:bCs/>
          <w:sz w:val="16"/>
          <w:szCs w:val="16"/>
        </w:rPr>
      </w:pPr>
      <w:r>
        <w:rPr>
          <w:bCs/>
          <w:sz w:val="16"/>
          <w:szCs w:val="16"/>
        </w:rPr>
        <w:t xml:space="preserve">Стоимость услуг, предоставляемых зарегистрированным лицам в реестрах ОАО «Научно-исследовательский институт систем автоматизации», ЗАО «ТЕХНОИНВЕСТ АЛЬЯНС», приведена в Прейскуранте № 4.  </w:t>
      </w:r>
    </w:p>
    <w:p>
      <w:pPr>
        <w:pStyle w:val="Normal"/>
        <w:bidi w:val="0"/>
        <w:ind w:hanging="0" w:start="0" w:end="0"/>
        <w:jc w:val="both"/>
        <w:rPr>
          <w:rFonts w:ascii="Times New Roman" w:hAnsi="Times New Roman"/>
          <w:bCs/>
          <w:sz w:val="16"/>
          <w:szCs w:val="16"/>
        </w:rPr>
      </w:pPr>
      <w:r>
        <w:rPr>
          <w:bCs/>
          <w:sz w:val="16"/>
          <w:szCs w:val="16"/>
        </w:rPr>
        <w:t xml:space="preserve">Стоимость услуг, предоставляемых зарегистрированным лицам в реестрах АО «Пермский облунивермаг», АО «Торговый центр на Ленина,45», АО «Универсам СЕМЬЯ», АО «Торговый центр» приведена  в Прейскуранте № 5.  </w:t>
      </w:r>
    </w:p>
    <w:p>
      <w:pPr>
        <w:pStyle w:val="Normal"/>
        <w:bidi w:val="0"/>
        <w:ind w:hanging="0" w:start="0" w:end="0"/>
        <w:jc w:val="both"/>
        <w:rPr>
          <w:rFonts w:ascii="Times New Roman" w:hAnsi="Times New Roman"/>
          <w:bCs/>
          <w:sz w:val="16"/>
          <w:szCs w:val="16"/>
        </w:rPr>
      </w:pPr>
      <w:r>
        <w:rPr>
          <w:bCs/>
          <w:sz w:val="16"/>
          <w:szCs w:val="16"/>
        </w:rPr>
        <w:t xml:space="preserve">Стоимость услуг, предоставляемых зарегистрированным лицам в реестрах АО «Корпорация развития Пермского края», АО "Корпорация развития малого и среднего предпринимательства Пермского края", АО "Микрофинансовая компания предпринимательского финансирования Пермского края", ОАО "Комплексный расчетный центр-Прикамье", АО «Международный аэропорт «Пермь»  приведена в Прейскуранте № 6.  </w:t>
      </w:r>
    </w:p>
    <w:p>
      <w:pPr>
        <w:pStyle w:val="Normal"/>
        <w:bidi w:val="0"/>
        <w:ind w:hanging="0" w:start="0" w:end="0"/>
        <w:jc w:val="both"/>
        <w:rPr>
          <w:rFonts w:ascii="Times New Roman" w:hAnsi="Times New Roman"/>
        </w:rPr>
      </w:pPr>
      <w:r>
        <w:rPr>
          <w:bCs/>
          <w:sz w:val="16"/>
          <w:szCs w:val="16"/>
        </w:rPr>
        <w:t>Стоимость услуг, предоставляемых зарегистрированным лицам в реестре ЗАО «Сургутинвестнефть»  приведена в Прейскуранте  № 7.</w:t>
      </w:r>
      <w:r>
        <w:rPr/>
        <w:t xml:space="preserve"> </w:t>
      </w:r>
    </w:p>
    <w:p>
      <w:pPr>
        <w:pStyle w:val="Normal"/>
        <w:bidi w:val="0"/>
        <w:ind w:hanging="0" w:start="0" w:end="0"/>
        <w:jc w:val="both"/>
        <w:rPr>
          <w:rFonts w:ascii="Times New Roman" w:hAnsi="Times New Roman"/>
          <w:bCs/>
          <w:sz w:val="16"/>
          <w:szCs w:val="16"/>
        </w:rPr>
      </w:pPr>
      <w:r>
        <w:rPr>
          <w:bCs/>
          <w:sz w:val="16"/>
          <w:szCs w:val="16"/>
        </w:rPr>
        <w:t>Стоимость услуг, предоставляемых зарегистрированным лицам в реестре  АО КБ «ЮНИСТРИМ»  приведена в Прейскуранте  № 8.</w:t>
      </w:r>
    </w:p>
    <w:p>
      <w:pPr>
        <w:pStyle w:val="Normal"/>
        <w:bidi w:val="0"/>
        <w:ind w:hanging="0" w:start="0" w:end="0"/>
        <w:jc w:val="both"/>
        <w:rPr>
          <w:rFonts w:ascii="Times New Roman" w:hAnsi="Times New Roman"/>
          <w:bCs/>
          <w:sz w:val="16"/>
          <w:szCs w:val="16"/>
        </w:rPr>
      </w:pPr>
      <w:r>
        <w:rPr>
          <w:bCs/>
          <w:sz w:val="16"/>
          <w:szCs w:val="16"/>
        </w:rPr>
        <w:t>Стоимость услуг, предоставляемых зарегистрированным лицам в реестре  АО «</w:t>
      </w:r>
      <w:r>
        <w:rPr>
          <w:bCs/>
          <w:sz w:val="16"/>
          <w:szCs w:val="16"/>
        </w:rPr>
        <w:t>Земля Сергачская</w:t>
      </w:r>
      <w:r>
        <w:rPr>
          <w:bCs/>
          <w:sz w:val="16"/>
          <w:szCs w:val="16"/>
        </w:rPr>
        <w:t xml:space="preserve">», </w:t>
      </w:r>
      <w:r>
        <w:rPr>
          <w:bCs/>
          <w:sz w:val="16"/>
          <w:szCs w:val="16"/>
        </w:rPr>
        <w:t>АО «Мордовспецстрой»,</w:t>
      </w:r>
      <w:r>
        <w:rPr>
          <w:bCs/>
          <w:sz w:val="16"/>
          <w:szCs w:val="16"/>
        </w:rPr>
        <w:t xml:space="preserve"> приведена в Прейскуранте  № </w:t>
      </w:r>
      <w:r>
        <w:rPr>
          <w:bCs/>
          <w:sz w:val="16"/>
          <w:szCs w:val="16"/>
        </w:rPr>
        <w:t>9</w:t>
      </w:r>
      <w:r>
        <w:rPr>
          <w:bCs/>
          <w:sz w:val="16"/>
          <w:szCs w:val="16"/>
        </w:rPr>
        <w:t>.</w:t>
      </w:r>
    </w:p>
    <w:p>
      <w:pPr>
        <w:pStyle w:val="Normal"/>
        <w:bidi w:val="0"/>
        <w:ind w:hanging="0" w:start="0" w:end="0"/>
        <w:jc w:val="both"/>
        <w:rPr>
          <w:rFonts w:ascii="Times New Roman" w:hAnsi="Times New Roman"/>
          <w:bCs/>
          <w:sz w:val="16"/>
          <w:szCs w:val="16"/>
        </w:rPr>
      </w:pPr>
      <w:r>
        <w:rPr>
          <w:bCs/>
          <w:sz w:val="16"/>
          <w:szCs w:val="16"/>
        </w:rPr>
        <w:t>Стоимость услуг, предоставляемых зарегистрированным лицам в реестре  АО «</w:t>
      </w:r>
      <w:r>
        <w:rPr>
          <w:bCs/>
          <w:sz w:val="16"/>
          <w:szCs w:val="16"/>
        </w:rPr>
        <w:t>Карбокам</w:t>
      </w:r>
      <w:r>
        <w:rPr>
          <w:bCs/>
          <w:sz w:val="16"/>
          <w:szCs w:val="16"/>
        </w:rPr>
        <w:t xml:space="preserve">»  приведена в Прейскуранте  № </w:t>
      </w:r>
      <w:r>
        <w:rPr>
          <w:bCs/>
          <w:sz w:val="16"/>
          <w:szCs w:val="16"/>
        </w:rPr>
        <w:t>10</w:t>
      </w:r>
      <w:r>
        <w:rPr>
          <w:bCs/>
          <w:sz w:val="16"/>
          <w:szCs w:val="16"/>
        </w:rPr>
        <w:t>.</w:t>
      </w:r>
    </w:p>
    <w:p>
      <w:pPr>
        <w:pStyle w:val="Normal"/>
        <w:bidi w:val="0"/>
        <w:ind w:hanging="0" w:start="0" w:end="0"/>
        <w:jc w:val="both"/>
        <w:rPr>
          <w:rFonts w:ascii="Times New Roman" w:hAnsi="Times New Roman"/>
          <w:bCs/>
          <w:sz w:val="16"/>
          <w:szCs w:val="16"/>
        </w:rPr>
      </w:pPr>
      <w:r>
        <w:rPr>
          <w:bCs/>
          <w:sz w:val="16"/>
          <w:szCs w:val="16"/>
        </w:rPr>
        <w:t>Стоимость услуг, предоставляемых зарегистрированным лицам в реестре  АО «</w:t>
      </w:r>
      <w:r>
        <w:rPr>
          <w:bCs/>
          <w:sz w:val="16"/>
          <w:szCs w:val="16"/>
        </w:rPr>
        <w:t>ДЗМО</w:t>
      </w:r>
      <w:r>
        <w:rPr>
          <w:bCs/>
          <w:sz w:val="16"/>
          <w:szCs w:val="16"/>
        </w:rPr>
        <w:t xml:space="preserve">»  приведена в Прейскуранте  № </w:t>
      </w:r>
      <w:r>
        <w:rPr>
          <w:bCs/>
          <w:sz w:val="16"/>
          <w:szCs w:val="16"/>
        </w:rPr>
        <w:t>11.</w:t>
      </w:r>
    </w:p>
    <w:sectPr>
      <w:endnotePr>
        <w:numFmt w:val="decimal"/>
      </w:endnotePr>
      <w:type w:val="nextPage"/>
      <w:pgSz w:w="11906" w:h="16838"/>
      <w:pgMar w:left="1134" w:right="454" w:gutter="0" w:header="0" w:top="357" w:footer="0" w:bottom="318"/>
      <w:pgNumType w:fmt="decimal"/>
      <w:formProt w:val="false"/>
      <w:textDirection w:val="lrTb"/>
      <w:docGrid w:type="default" w:linePitch="10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EndnoteText"/>
        <w:bidi w:val="0"/>
        <w:ind w:hanging="0" w:start="0" w:end="0"/>
        <w:jc w:val="both"/>
        <w:rPr>
          <w:rFonts w:ascii="Times New Roman" w:hAnsi="Times New Roman"/>
          <w:bCs/>
        </w:rPr>
      </w:pPr>
      <w:r>
        <w:rPr>
          <w:rStyle w:val="Style20"/>
        </w:rPr>
        <w:endnoteRef/>
      </w:r>
      <w:r>
        <w:rPr>
          <w:bCs/>
        </w:rPr>
        <w:t>НДС не облагается согласно ст. 149 Налогового кодекса Российской Федерации.</w:t>
      </w:r>
    </w:p>
    <w:p>
      <w:pPr>
        <w:pStyle w:val="EndnoteText"/>
        <w:bidi w:val="0"/>
        <w:jc w:val="start"/>
        <w:rPr/>
      </w:pPr>
      <w:r>
        <w:rPr/>
      </w:r>
    </w:p>
  </w:endnote>
  <w:endnote w:id="3">
    <w:p>
      <w:pPr>
        <w:pStyle w:val="EndnoteText"/>
        <w:bidi w:val="0"/>
        <w:ind w:hanging="0" w:start="0" w:end="0"/>
        <w:jc w:val="both"/>
        <w:rPr>
          <w:rFonts w:ascii="Times New Roman" w:hAnsi="Times New Roman"/>
          <w:bCs/>
        </w:rPr>
      </w:pPr>
      <w:r>
        <w:rPr>
          <w:rStyle w:val="Style20"/>
        </w:rPr>
        <w:endnoteRef/>
      </w:r>
      <w:r>
        <w:rPr>
          <w:bCs/>
        </w:rPr>
        <w:t>Стоимость ценных бумаг определяется регистратором исходя из количества списываемых с лицевого счета ценных бумаг и рыночной цены ценной бумаги, определенной в порядке, установленном для определения налоговой базы по налогу на доходы физических лиц в соответствии с главой 23 Налогового кодекса Российской Федерации.  В случае если рыночная цена ценной бумаги не определена, стоимость ценных бумаг  определяется как произведение номинальной стоимости указанных ценных бумаг на их количество.</w:t>
      </w:r>
    </w:p>
    <w:p>
      <w:pPr>
        <w:pStyle w:val="EndnoteText"/>
        <w:bidi w:val="0"/>
        <w:ind w:hanging="0" w:start="0" w:end="0"/>
        <w:jc w:val="both"/>
        <w:rPr>
          <w:rFonts w:ascii="Times New Roman" w:hAnsi="Times New Roman"/>
        </w:rPr>
      </w:pPr>
      <w:r>
        <w:rPr/>
      </w:r>
    </w:p>
    <w:p>
      <w:pPr>
        <w:pStyle w:val="EndnoteText"/>
        <w:bidi w:val="0"/>
        <w:ind w:hanging="0" w:start="0" w:end="0"/>
        <w:jc w:val="both"/>
        <w:rPr>
          <w:rFonts w:ascii="Times New Roman" w:hAnsi="Times New Roman"/>
        </w:rPr>
      </w:pPr>
      <w:r>
        <w:rPr/>
      </w:r>
    </w:p>
    <w:p>
      <w:pPr>
        <w:pStyle w:val="EndnoteText"/>
        <w:bidi w:val="0"/>
        <w:jc w:val="start"/>
        <w:rPr/>
      </w:pPr>
      <w:r>
        <w:rPr/>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Tahoma">
    <w:charset w:val="cc" w:characterSet="windows-1251"/>
    <w:family w:val="roman"/>
    <w:pitch w:val="variable"/>
  </w:font>
  <w:font w:name="Liberation Sans">
    <w:altName w:val="Arial"/>
    <w:charset w:val="cc" w:characterSet="windows-1251"/>
    <w:family w:val="swiss"/>
    <w:pitch w:val="variable"/>
  </w:font>
  <w:font w:name="Arial">
    <w:charset w:val="cc" w:characterSet="windows-1251"/>
    <w:family w:val="roman"/>
    <w:pitch w:val="variable"/>
  </w:font>
  <w:font w:name="Calibri">
    <w:charset w:val="cc" w:characterSet="windows-1251"/>
    <w:family w:val="roman"/>
    <w:pitch w:val="variable"/>
  </w:font>
</w:fonts>
</file>

<file path=word/settings.xml><?xml version="1.0" encoding="utf-8"?>
<w:settings xmlns:w="http://schemas.openxmlformats.org/wordprocessingml/2006/main">
  <w:zoom w:percent="147"/>
  <w:defaultTabStop w:val="708"/>
  <w:autoHyphenation w:val="true"/>
  <w:endnotePr>
    <w:numFmt w:val="decimal"/>
    <w:endnote w:id="0"/>
    <w:endnote w:id="1"/>
  </w:endnotePr>
  <w:compat>
    <w:doNotBreakWrappedTables/>
    <w:compatSetting w:name="compatibilityMode" w:uri="http://schemas.microsoft.com/office/word" w:val="12"/>
  </w:compat>
  <w:themeFontLang w:val="" w:eastAsia="" w:bidi=""/>
  <w:docVars>
    <w:docVar w:name="1" w:val="TMLBFSR"/>
    <w:docVar w:name="2" w:val="MMFHSST"/>
    <w:docVar w:name="I" w:val=" 268"/>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bidi w:val="0"/>
      <w:jc w:val="start"/>
      <w:textAlignment w:val="auto"/>
    </w:pPr>
    <w:rPr>
      <w:rFonts w:ascii="Times New Roman" w:hAnsi="Times New Roman" w:eastAsia="Cambria Math" w:cs="Times New Roman"/>
      <w:color w:val="auto"/>
      <w:kern w:val="2"/>
      <w:sz w:val="20"/>
      <w:szCs w:val="20"/>
      <w:lang w:val="ru-RU" w:eastAsia="ru-RU" w:bidi="ar-SA"/>
    </w:rPr>
  </w:style>
  <w:style w:type="character" w:styleId="DefaultParagraphFont">
    <w:name w:val="Default Paragraph Font"/>
    <w:qFormat/>
    <w:rPr/>
  </w:style>
  <w:style w:type="character" w:styleId="Style14">
    <w:name w:val="Основной шрифт"/>
    <w:qFormat/>
    <w:rPr/>
  </w:style>
  <w:style w:type="character" w:styleId="Style15">
    <w:name w:val="Верхний колонтитул Знак"/>
    <w:basedOn w:val="DefaultParagraphFont"/>
    <w:qFormat/>
    <w:rPr/>
  </w:style>
  <w:style w:type="character" w:styleId="Style16">
    <w:name w:val="Нижний колонтитул Знак"/>
    <w:basedOn w:val="DefaultParagraphFont"/>
    <w:qFormat/>
    <w:rPr/>
  </w:style>
  <w:style w:type="character" w:styleId="Style17">
    <w:name w:val="Основной текст Знак"/>
    <w:basedOn w:val="DefaultParagraphFont"/>
    <w:qFormat/>
    <w:rPr/>
  </w:style>
  <w:style w:type="character" w:styleId="Style18">
    <w:name w:val="Текст выноски Знак"/>
    <w:basedOn w:val="DefaultParagraphFont"/>
    <w:qFormat/>
    <w:rPr>
      <w:rFonts w:ascii="Tahoma" w:hAnsi="Tahoma" w:cs="Tahoma"/>
      <w:sz w:val="16"/>
      <w:szCs w:val="16"/>
    </w:rPr>
  </w:style>
  <w:style w:type="character" w:styleId="Style19">
    <w:name w:val="Текст концевой сноски Знак"/>
    <w:basedOn w:val="DefaultParagraphFont"/>
    <w:qFormat/>
    <w:rPr/>
  </w:style>
  <w:style w:type="character" w:styleId="Style20">
    <w:name w:val="Символ концевой сноски"/>
    <w:basedOn w:val="DefaultParagraphFont"/>
    <w:qFormat/>
    <w:rPr>
      <w:sz w:val="24"/>
      <w:szCs w:val="24"/>
      <w:vertAlign w:val="superscript"/>
    </w:rPr>
  </w:style>
  <w:style w:type="character" w:styleId="EndnoteReference">
    <w:name w:val="Endnote Reference"/>
    <w:rPr>
      <w:sz w:val="24"/>
      <w:szCs w:val="24"/>
      <w:vertAlign w:val="superscript"/>
    </w:rPr>
  </w:style>
  <w:style w:type="character" w:styleId="Style21">
    <w:name w:val="Текст сноски Знак"/>
    <w:basedOn w:val="DefaultParagraphFont"/>
    <w:qFormat/>
    <w:rPr/>
  </w:style>
  <w:style w:type="character" w:styleId="Style22">
    <w:name w:val="Символ сноски"/>
    <w:basedOn w:val="DefaultParagraphFont"/>
    <w:qFormat/>
    <w:rPr>
      <w:sz w:val="24"/>
      <w:szCs w:val="24"/>
      <w:vertAlign w:val="superscript"/>
    </w:rPr>
  </w:style>
  <w:style w:type="character" w:styleId="FootnoteReference">
    <w:name w:val="Footnote Reference"/>
    <w:rPr>
      <w:sz w:val="24"/>
      <w:szCs w:val="24"/>
      <w:vertAlign w:val="superscript"/>
    </w:rPr>
  </w:style>
  <w:style w:type="paragraph" w:styleId="Style23">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jc w:val="both"/>
    </w:pPr>
    <w:rPr>
      <w:b/>
      <w:bCs/>
      <w:sz w:val="18"/>
      <w:szCs w:val="18"/>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NormalTable">
    <w:name w:val="Normal Table"/>
    <w:qFormat/>
    <w:pPr>
      <w:widowControl/>
      <w:bidi w:val="0"/>
      <w:spacing w:lineRule="auto" w:line="276" w:before="0" w:after="200"/>
      <w:jc w:val="start"/>
      <w:textAlignment w:val="auto"/>
    </w:pPr>
    <w:rPr>
      <w:rFonts w:ascii="Times New Roman" w:hAnsi="Times New Roman" w:eastAsia="Cambria Math" w:cs="Times New Roman"/>
      <w:color w:val="auto"/>
      <w:kern w:val="2"/>
      <w:sz w:val="22"/>
      <w:szCs w:val="22"/>
      <w:lang w:val="ru-RU" w:eastAsia="ru-RU" w:bidi="ar-SA"/>
    </w:rPr>
  </w:style>
  <w:style w:type="paragraph" w:styleId="Style25">
    <w:name w:val="Колонтитул"/>
    <w:basedOn w:val="Normal"/>
    <w:qFormat/>
    <w:pPr/>
    <w:rPr/>
  </w:style>
  <w:style w:type="paragraph" w:styleId="Header">
    <w:name w:val="Header"/>
    <w:basedOn w:val="Normal"/>
    <w:pPr>
      <w:tabs>
        <w:tab w:val="clear" w:pos="708"/>
        <w:tab w:val="center" w:pos="4153" w:leader="none"/>
        <w:tab w:val="right" w:pos="8306" w:leader="none"/>
      </w:tabs>
    </w:pPr>
    <w:rPr/>
  </w:style>
  <w:style w:type="paragraph" w:styleId="Footer">
    <w:name w:val="Footer"/>
    <w:basedOn w:val="Normal"/>
    <w:pPr>
      <w:tabs>
        <w:tab w:val="clear" w:pos="708"/>
        <w:tab w:val="center" w:pos="4153" w:leader="none"/>
        <w:tab w:val="right" w:pos="8306" w:leader="none"/>
      </w:tabs>
    </w:pPr>
    <w:rPr/>
  </w:style>
  <w:style w:type="paragraph" w:styleId="BalloonText">
    <w:name w:val="Balloon Text"/>
    <w:basedOn w:val="Normal"/>
    <w:qFormat/>
    <w:pPr/>
    <w:rPr>
      <w:rFonts w:ascii="Tahoma" w:hAnsi="Tahoma" w:cs="Tahoma"/>
      <w:sz w:val="16"/>
      <w:szCs w:val="16"/>
    </w:rPr>
  </w:style>
  <w:style w:type="paragraph" w:styleId="EndnoteText">
    <w:name w:val="Endnote Text"/>
    <w:basedOn w:val="Normal"/>
    <w:pPr/>
    <w:rPr/>
  </w:style>
  <w:style w:type="paragraph" w:styleId="ConsCell">
    <w:name w:val="ConsCell"/>
    <w:qFormat/>
    <w:pPr>
      <w:widowControl w:val="false"/>
      <w:bidi w:val="0"/>
      <w:jc w:val="start"/>
      <w:textAlignment w:val="baseline"/>
    </w:pPr>
    <w:rPr>
      <w:rFonts w:ascii="Arial" w:hAnsi="Arial" w:eastAsia="Cambria Math" w:cs="Times New Roman"/>
      <w:color w:val="auto"/>
      <w:kern w:val="2"/>
      <w:sz w:val="20"/>
      <w:szCs w:val="20"/>
      <w:lang w:val="ru-RU" w:eastAsia="ru-RU" w:bidi="ar-SA"/>
    </w:rPr>
  </w:style>
  <w:style w:type="paragraph" w:styleId="FootnoteText">
    <w:name w:val="Footnote Text"/>
    <w:basedOn w:val="Normal"/>
    <w:pPr/>
    <w:rPr/>
  </w:style>
  <w:style w:type="paragraph" w:styleId="Default">
    <w:name w:val="Default"/>
    <w:qFormat/>
    <w:pPr>
      <w:widowControl/>
      <w:bidi w:val="0"/>
      <w:jc w:val="start"/>
      <w:textAlignment w:val="auto"/>
    </w:pPr>
    <w:rPr>
      <w:rFonts w:ascii="Times New Roman" w:hAnsi="Times New Roman" w:eastAsia="Cambria Math" w:cs="Times New Roman"/>
      <w:color w:val="000000"/>
      <w:kern w:val="2"/>
      <w:sz w:val="24"/>
      <w:szCs w:val="24"/>
      <w:lang w:val="ru-RU" w:eastAsia="ru-RU" w:bidi="ar-SA"/>
    </w:rPr>
  </w:style>
  <w:style w:type="paragraph" w:styleId="ConsPlusNormal">
    <w:name w:val="ConsPlusNormal"/>
    <w:qFormat/>
    <w:pPr>
      <w:widowControl w:val="false"/>
      <w:bidi w:val="0"/>
      <w:jc w:val="start"/>
      <w:textAlignment w:val="auto"/>
    </w:pPr>
    <w:rPr>
      <w:rFonts w:ascii="Calibri" w:hAnsi="Calibri" w:eastAsia="Cambria Math" w:cs="Calibri"/>
      <w:color w:val="auto"/>
      <w:kern w:val="2"/>
      <w:sz w:val="22"/>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LibreOffice/7.6.1.2$Windows_X86_64 LibreOffice_project/f5defcebd022c5bc36bbb79be232cb6926d8f674</Application>
  <AppVersion>15.0000</AppVersion>
  <Pages>3</Pages>
  <Words>1052</Words>
  <Characters>6762</Characters>
  <CharactersWithSpaces>7881</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2022-03-11T10:58:00Z</dcterms:created>
  <dc:creator>Каргаполова Е.В.</dc:creator>
  <dc:description/>
  <dc:language>ru-RU</dc:language>
  <cp:lastModifiedBy/>
  <cp:lastPrinted>2018-09-26T15:15:00Z</cp:lastPrinted>
  <dcterms:modified xsi:type="dcterms:W3CDTF">2024-04-11T11:50:41Z</dcterms:modified>
  <cp:revision>4</cp:revision>
  <dc:subject/>
  <dc:title>УТВЕРЖДАЮ: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Kev</vt:lpwstr>
  </property>
</Properties>
</file>